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8CC9A" w14:textId="09361D30" w:rsidR="00403D32" w:rsidRPr="00733756" w:rsidRDefault="00675B5E" w:rsidP="003D1188">
      <w:pPr>
        <w:jc w:val="center"/>
        <w:rPr>
          <w:b/>
          <w:color w:val="000000"/>
          <w:sz w:val="28"/>
        </w:rPr>
      </w:pPr>
      <w:r w:rsidRPr="00733756">
        <w:rPr>
          <w:b/>
          <w:color w:val="000000"/>
          <w:sz w:val="28"/>
        </w:rPr>
        <w:t xml:space="preserve">Enhancing Economic Resilience of </w:t>
      </w:r>
      <w:r w:rsidR="00224B2D">
        <w:rPr>
          <w:b/>
          <w:color w:val="000000"/>
          <w:sz w:val="28"/>
        </w:rPr>
        <w:t>V</w:t>
      </w:r>
      <w:r w:rsidRPr="00733756">
        <w:rPr>
          <w:b/>
          <w:color w:val="000000"/>
          <w:sz w:val="28"/>
        </w:rPr>
        <w:t xml:space="preserve">ulnerable SMEs in Djibouti: </w:t>
      </w:r>
      <w:r w:rsidR="00733756">
        <w:rPr>
          <w:b/>
          <w:color w:val="000000"/>
          <w:sz w:val="28"/>
        </w:rPr>
        <w:br/>
      </w:r>
      <w:r w:rsidRPr="00733756">
        <w:rPr>
          <w:b/>
          <w:color w:val="000000"/>
          <w:sz w:val="28"/>
        </w:rPr>
        <w:t>Technical Proposal</w:t>
      </w:r>
    </w:p>
    <w:p w14:paraId="672A6659" w14:textId="77777777" w:rsidR="00687248" w:rsidRDefault="00687248" w:rsidP="00687248">
      <w:pPr>
        <w:spacing w:after="0" w:line="240" w:lineRule="auto"/>
        <w:rPr>
          <w:rFonts w:ascii="Times New Roman" w:hAnsi="Times New Roman"/>
          <w:b/>
          <w:bCs/>
          <w:sz w:val="24"/>
        </w:rPr>
      </w:pPr>
    </w:p>
    <w:p w14:paraId="2E0A6F91" w14:textId="77777777" w:rsidR="00455AC9" w:rsidRPr="00687248" w:rsidRDefault="00455AC9" w:rsidP="00687248">
      <w:pPr>
        <w:spacing w:after="0" w:line="240" w:lineRule="auto"/>
        <w:rPr>
          <w:rFonts w:ascii="Times New Roman" w:hAnsi="Times New Roman"/>
          <w:b/>
          <w:bCs/>
          <w:sz w:val="24"/>
        </w:rPr>
      </w:pPr>
      <w:r w:rsidRPr="00687248">
        <w:rPr>
          <w:rFonts w:ascii="Times New Roman" w:hAnsi="Times New Roman"/>
          <w:b/>
          <w:bCs/>
          <w:sz w:val="24"/>
        </w:rPr>
        <w:t>Background</w:t>
      </w:r>
    </w:p>
    <w:p w14:paraId="6ABF503F" w14:textId="77777777" w:rsidR="00687248" w:rsidRPr="008E3BA6" w:rsidRDefault="00CB12FA" w:rsidP="00687248">
      <w:pPr>
        <w:spacing w:after="0" w:line="240" w:lineRule="auto"/>
        <w:rPr>
          <w:rFonts w:ascii="Times New Roman" w:hAnsi="Times New Roman"/>
          <w:b/>
          <w:bCs/>
          <w:color w:val="1F3864"/>
          <w:sz w:val="24"/>
        </w:rPr>
      </w:pPr>
      <w:r>
        <w:rPr>
          <w:rFonts w:ascii="Times New Roman" w:hAnsi="Times New Roman"/>
          <w:b/>
          <w:bCs/>
          <w:noProof/>
          <w:color w:val="1F3864"/>
          <w:sz w:val="24"/>
          <w:lang w:val="bs-Latn-BA" w:eastAsia="bs-Latn-BA"/>
        </w:rPr>
        <mc:AlternateContent>
          <mc:Choice Requires="wps">
            <w:drawing>
              <wp:anchor distT="0" distB="0" distL="114300" distR="114300" simplePos="0" relativeHeight="251652608" behindDoc="0" locked="0" layoutInCell="1" allowOverlap="1" wp14:anchorId="1819A6AC" wp14:editId="07777777">
                <wp:simplePos x="0" y="0"/>
                <wp:positionH relativeFrom="column">
                  <wp:posOffset>5079</wp:posOffset>
                </wp:positionH>
                <wp:positionV relativeFrom="paragraph">
                  <wp:posOffset>57150</wp:posOffset>
                </wp:positionV>
                <wp:extent cx="5800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5FB4D536" id="Straight Connector 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pt,4.5pt" to="45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" strokecolor="black [3213]"/>
            </w:pict>
          </mc:Fallback>
        </mc:AlternateContent>
      </w:r>
    </w:p>
    <w:p w14:paraId="1A765F22" w14:textId="35F9FEA2" w:rsidR="00455AC9" w:rsidRPr="008E3BA6" w:rsidRDefault="00455AC9" w:rsidP="00455AC9">
      <w:pPr>
        <w:jc w:val="both"/>
        <w:rPr>
          <w:rFonts w:ascii="Times New Roman" w:hAnsi="Times New Roman"/>
          <w:sz w:val="24"/>
          <w:lang w:val="en-GB"/>
        </w:rPr>
      </w:pPr>
      <w:r w:rsidRPr="008E3BA6">
        <w:rPr>
          <w:rFonts w:ascii="Times New Roman" w:hAnsi="Times New Roman"/>
          <w:sz w:val="24"/>
        </w:rPr>
        <w:t>Djibouti is facing an unprecedented economic crisis due to COVID-19 threatening hard-won development gains of 20 years. Djibouti struggled to grow its economy due to a largely unskilled labor force, limited resources and harsh climate conditions. Informal and small businesses, re</w:t>
      </w:r>
      <w:r w:rsidR="00EC76B0">
        <w:rPr>
          <w:rFonts w:ascii="Times New Roman" w:hAnsi="Times New Roman"/>
          <w:sz w:val="24"/>
        </w:rPr>
        <w:t xml:space="preserve">presenting more than </w:t>
      </w:r>
      <w:r w:rsidRPr="008E3BA6">
        <w:rPr>
          <w:rFonts w:ascii="Times New Roman" w:hAnsi="Times New Roman"/>
          <w:sz w:val="24"/>
        </w:rPr>
        <w:t xml:space="preserve">70% of all jobs, are heavily impacted. This economic tsunami is likely to send back to poverty the most vulnerable and disrupt the social cohesion. </w:t>
      </w:r>
      <w:r w:rsidRPr="008E3BA6">
        <w:rPr>
          <w:rFonts w:ascii="Times New Roman" w:hAnsi="Times New Roman"/>
          <w:sz w:val="24"/>
          <w:lang w:val="en-GB"/>
        </w:rPr>
        <w:t>Djibouti has experienced a strong and stable economic growth in recent years, notably as a result of its positioning as a transportation and logistical hub. The impact of COVID-19 pandemic on the Djiboutian economy disproportiona</w:t>
      </w:r>
      <w:r w:rsidR="00A85A8E">
        <w:rPr>
          <w:rFonts w:ascii="Times New Roman" w:hAnsi="Times New Roman"/>
          <w:sz w:val="24"/>
          <w:lang w:val="en-GB"/>
        </w:rPr>
        <w:t>t</w:t>
      </w:r>
      <w:r w:rsidR="00EC76B0">
        <w:rPr>
          <w:rFonts w:ascii="Times New Roman" w:hAnsi="Times New Roman"/>
          <w:sz w:val="24"/>
          <w:lang w:val="en-GB"/>
        </w:rPr>
        <w:t>ely</w:t>
      </w:r>
      <w:r w:rsidRPr="008E3BA6">
        <w:rPr>
          <w:rFonts w:ascii="Times New Roman" w:hAnsi="Times New Roman"/>
          <w:sz w:val="24"/>
          <w:lang w:val="en-GB"/>
        </w:rPr>
        <w:t xml:space="preserve"> affected micro, small and medium enterprises (MSMEs) and the informal sector. </w:t>
      </w:r>
      <w:r w:rsidRPr="008E3BA6">
        <w:rPr>
          <w:rFonts w:ascii="Times New Roman" w:hAnsi="Times New Roman"/>
          <w:sz w:val="24"/>
        </w:rPr>
        <w:t>Djibouti has one of the lowest levels of financia</w:t>
      </w:r>
      <w:r w:rsidR="00EC76B0">
        <w:rPr>
          <w:rFonts w:ascii="Times New Roman" w:hAnsi="Times New Roman"/>
          <w:sz w:val="24"/>
        </w:rPr>
        <w:t xml:space="preserve">l inclusion in the MENA region </w:t>
      </w:r>
      <w:r w:rsidRPr="008E3BA6">
        <w:rPr>
          <w:rFonts w:ascii="Times New Roman" w:hAnsi="Times New Roman"/>
          <w:sz w:val="24"/>
          <w:lang w:val="en-GB"/>
        </w:rPr>
        <w:t>with only 12% of the working age population having an active bank account, and this number is even lower for the 15 to 24</w:t>
      </w:r>
      <w:r>
        <w:rPr>
          <w:rFonts w:ascii="Times New Roman" w:hAnsi="Times New Roman"/>
          <w:sz w:val="24"/>
          <w:lang w:val="en-GB"/>
        </w:rPr>
        <w:t xml:space="preserve"> </w:t>
      </w:r>
      <w:r w:rsidRPr="008E3BA6">
        <w:rPr>
          <w:rFonts w:ascii="Times New Roman" w:hAnsi="Times New Roman"/>
          <w:sz w:val="24"/>
          <w:lang w:val="en-GB"/>
        </w:rPr>
        <w:t>year</w:t>
      </w:r>
      <w:r>
        <w:rPr>
          <w:rFonts w:ascii="Times New Roman" w:hAnsi="Times New Roman"/>
          <w:sz w:val="24"/>
          <w:lang w:val="en-GB"/>
        </w:rPr>
        <w:t xml:space="preserve"> </w:t>
      </w:r>
      <w:r w:rsidRPr="008E3BA6">
        <w:rPr>
          <w:rFonts w:ascii="Times New Roman" w:hAnsi="Times New Roman"/>
          <w:sz w:val="24"/>
          <w:lang w:val="en-GB"/>
        </w:rPr>
        <w:t>old demographic</w:t>
      </w:r>
      <w:r w:rsidRPr="0057304F">
        <w:rPr>
          <w:rFonts w:ascii="Times New Roman" w:hAnsi="Times New Roman"/>
          <w:sz w:val="24"/>
          <w:vertAlign w:val="superscript"/>
          <w:lang w:val="en-GB"/>
        </w:rPr>
        <w:footnoteReference w:id="1"/>
      </w:r>
      <w:r w:rsidRPr="008E3BA6">
        <w:rPr>
          <w:rFonts w:ascii="Times New Roman" w:hAnsi="Times New Roman"/>
          <w:sz w:val="24"/>
          <w:lang w:val="en-GB"/>
        </w:rPr>
        <w:t>. To enable access to financial services, microfinance can be a key mechanism contributing to poverty reduc</w:t>
      </w:r>
      <w:r>
        <w:rPr>
          <w:rFonts w:ascii="Times New Roman" w:hAnsi="Times New Roman"/>
          <w:sz w:val="24"/>
          <w:lang w:val="en-GB"/>
        </w:rPr>
        <w:t xml:space="preserve">tion and economic development. </w:t>
      </w:r>
    </w:p>
    <w:p w14:paraId="09985EB2" w14:textId="1C3910C1" w:rsidR="00455AC9" w:rsidRPr="008E3BA6" w:rsidRDefault="00455AC9" w:rsidP="00455AC9">
      <w:pPr>
        <w:jc w:val="both"/>
        <w:rPr>
          <w:rFonts w:ascii="Times New Roman" w:hAnsi="Times New Roman"/>
          <w:sz w:val="24"/>
          <w:lang w:val="en-GB"/>
        </w:rPr>
      </w:pPr>
      <w:r w:rsidRPr="008E3BA6">
        <w:rPr>
          <w:rFonts w:ascii="Times New Roman" w:hAnsi="Times New Roman"/>
          <w:sz w:val="24"/>
          <w:lang w:val="en-GB"/>
        </w:rPr>
        <w:t xml:space="preserve">Financial inclusion plays an important role in enabling the </w:t>
      </w:r>
      <w:r w:rsidR="002A4C2A" w:rsidRPr="008E3BA6">
        <w:rPr>
          <w:rFonts w:ascii="Times New Roman" w:hAnsi="Times New Roman"/>
          <w:sz w:val="24"/>
          <w:lang w:val="en-GB"/>
        </w:rPr>
        <w:t>socioeconomic</w:t>
      </w:r>
      <w:r w:rsidRPr="008E3BA6">
        <w:rPr>
          <w:rFonts w:ascii="Times New Roman" w:hAnsi="Times New Roman"/>
          <w:sz w:val="24"/>
          <w:lang w:val="en-GB"/>
        </w:rPr>
        <w:t xml:space="preserve"> recovery of the MSMEs from the COVID-19 impact.  Even though the microfinance landscape in Djibouti is currently very limited, the potential for the market to develop is significant. Currently, there are three main groups of microfinance actors in the country. The first group is the government owned entities such as the Djiboutian Social Development Agency (ADDS), which has the role of structuring and institutionalizing microfinance activities, together with offering financial and logistic support for the sector. The second group is consisted of commercial banks, where the relationship between commercial banks and microfinance providers is limited to operations such as deposits, withdrawals and transfers. However, commercial banks do not provide credit lines for microfinance activities. </w:t>
      </w:r>
      <w:r w:rsidRPr="00541D30">
        <w:rPr>
          <w:rFonts w:ascii="Times New Roman" w:hAnsi="Times New Roman"/>
          <w:sz w:val="24"/>
          <w:lang w:val="en-GB"/>
        </w:rPr>
        <w:t>Finally, the third group of actors consists of the regulatory and supervisory authorities for the development of the microfinance sector, and it mainly includes the Central Bank and the Ministry of Finance.</w:t>
      </w:r>
      <w:r w:rsidRPr="008E3BA6">
        <w:rPr>
          <w:rFonts w:ascii="Times New Roman" w:hAnsi="Times New Roman"/>
          <w:sz w:val="24"/>
          <w:lang w:val="en-GB"/>
        </w:rPr>
        <w:t xml:space="preserve"> </w:t>
      </w:r>
    </w:p>
    <w:p w14:paraId="10FEB60F" w14:textId="77777777" w:rsidR="00455AC9" w:rsidRDefault="00455AC9" w:rsidP="00455AC9">
      <w:pPr>
        <w:jc w:val="both"/>
        <w:rPr>
          <w:rFonts w:ascii="Times New Roman" w:hAnsi="Times New Roman"/>
          <w:sz w:val="24"/>
          <w:lang w:val="en-GB"/>
        </w:rPr>
      </w:pPr>
      <w:r w:rsidRPr="008E3BA6">
        <w:rPr>
          <w:rFonts w:ascii="Times New Roman" w:hAnsi="Times New Roman"/>
          <w:sz w:val="24"/>
          <w:lang w:val="en-GB"/>
        </w:rPr>
        <w:t>With regards to the microfinance providers, the sector is dominated by three major Credit Unions, the “</w:t>
      </w:r>
      <w:proofErr w:type="spellStart"/>
      <w:r w:rsidRPr="008E3BA6">
        <w:rPr>
          <w:rFonts w:ascii="Times New Roman" w:hAnsi="Times New Roman"/>
          <w:sz w:val="24"/>
          <w:lang w:val="en-GB"/>
        </w:rPr>
        <w:t>Caisse</w:t>
      </w:r>
      <w:proofErr w:type="spellEnd"/>
      <w:r w:rsidRPr="008E3BA6">
        <w:rPr>
          <w:rFonts w:ascii="Times New Roman" w:hAnsi="Times New Roman"/>
          <w:sz w:val="24"/>
          <w:lang w:val="en-GB"/>
        </w:rPr>
        <w:t xml:space="preserve"> Populaire </w:t>
      </w:r>
      <w:proofErr w:type="spellStart"/>
      <w:r w:rsidRPr="008E3BA6">
        <w:rPr>
          <w:rFonts w:ascii="Times New Roman" w:hAnsi="Times New Roman"/>
          <w:sz w:val="24"/>
          <w:lang w:val="en-GB"/>
        </w:rPr>
        <w:t>d’Epargne</w:t>
      </w:r>
      <w:proofErr w:type="spellEnd"/>
      <w:r w:rsidRPr="008E3BA6">
        <w:rPr>
          <w:rFonts w:ascii="Times New Roman" w:hAnsi="Times New Roman"/>
          <w:sz w:val="24"/>
          <w:lang w:val="en-GB"/>
        </w:rPr>
        <w:t xml:space="preserve"> et de Crédit (CPECs)”, established in 2011. CPECs target vulnerable beneficiaries and have mobilized several donors, including substantial contribution from the Government. However, the effectiveness of support to microenterprises has not been satisfactory and some CPECs have not been profitable due to the shortcomings in the management that has led to an increasing deterioration of their portfolio. The CPECs require restructuring and improvement of operations management as well as the development of commercial activiti</w:t>
      </w:r>
      <w:r>
        <w:rPr>
          <w:rFonts w:ascii="Times New Roman" w:hAnsi="Times New Roman"/>
          <w:sz w:val="24"/>
          <w:lang w:val="en-GB"/>
        </w:rPr>
        <w:t xml:space="preserve">es for sustainable financing.  </w:t>
      </w:r>
    </w:p>
    <w:p w14:paraId="0A37501D" w14:textId="77777777" w:rsidR="00687248" w:rsidRDefault="00687248" w:rsidP="00090E48">
      <w:pPr>
        <w:jc w:val="both"/>
        <w:rPr>
          <w:rFonts w:ascii="Times New Roman" w:hAnsi="Times New Roman"/>
          <w:b/>
          <w:sz w:val="24"/>
          <w:lang w:val="en-GB"/>
        </w:rPr>
      </w:pPr>
    </w:p>
    <w:p w14:paraId="2AA3DF78" w14:textId="77777777" w:rsidR="00CB12FA" w:rsidRDefault="00CB12FA" w:rsidP="00687248">
      <w:pPr>
        <w:jc w:val="both"/>
        <w:rPr>
          <w:rFonts w:ascii="Times New Roman" w:hAnsi="Times New Roman"/>
          <w:b/>
          <w:sz w:val="24"/>
          <w:lang w:val="en-GB"/>
        </w:rPr>
      </w:pPr>
      <w:r>
        <w:rPr>
          <w:rFonts w:ascii="Times New Roman" w:hAnsi="Times New Roman"/>
          <w:b/>
          <w:bCs/>
          <w:noProof/>
          <w:color w:val="1F3864"/>
          <w:sz w:val="24"/>
          <w:lang w:val="bs-Latn-BA" w:eastAsia="bs-Latn-BA"/>
        </w:rPr>
        <mc:AlternateContent>
          <mc:Choice Requires="wps">
            <w:drawing>
              <wp:anchor distT="0" distB="0" distL="114300" distR="114300" simplePos="0" relativeHeight="251654656" behindDoc="0" locked="0" layoutInCell="1" allowOverlap="1" wp14:anchorId="647901A9" wp14:editId="1141AB6E">
                <wp:simplePos x="0" y="0"/>
                <wp:positionH relativeFrom="column">
                  <wp:posOffset>-24130</wp:posOffset>
                </wp:positionH>
                <wp:positionV relativeFrom="paragraph">
                  <wp:posOffset>205105</wp:posOffset>
                </wp:positionV>
                <wp:extent cx="580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7054032"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9pt,16.15pt" to="454.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" strokecolor="black [3213]"/>
            </w:pict>
          </mc:Fallback>
        </mc:AlternateContent>
      </w:r>
      <w:r w:rsidR="00687248" w:rsidRPr="00687248">
        <w:rPr>
          <w:rFonts w:ascii="Times New Roman" w:hAnsi="Times New Roman"/>
          <w:b/>
          <w:sz w:val="24"/>
          <w:lang w:val="en-GB"/>
        </w:rPr>
        <w:t xml:space="preserve">Rationale </w:t>
      </w:r>
    </w:p>
    <w:p w14:paraId="108FFD31" w14:textId="64134674" w:rsidR="00687248" w:rsidRPr="00CB12FA" w:rsidRDefault="00CB12FA" w:rsidP="00687248">
      <w:pPr>
        <w:jc w:val="both"/>
        <w:rPr>
          <w:rFonts w:ascii="Times New Roman" w:hAnsi="Times New Roman"/>
          <w:b/>
          <w:sz w:val="24"/>
          <w:lang w:val="en-GB"/>
        </w:rPr>
      </w:pPr>
      <w:r>
        <w:rPr>
          <w:rFonts w:ascii="Times New Roman" w:hAnsi="Times New Roman"/>
          <w:b/>
          <w:sz w:val="24"/>
          <w:lang w:val="en-GB"/>
        </w:rPr>
        <w:br/>
      </w:r>
      <w:r w:rsidR="00687248" w:rsidRPr="00090E48">
        <w:rPr>
          <w:rFonts w:ascii="Times New Roman" w:hAnsi="Times New Roman"/>
          <w:sz w:val="24"/>
          <w:lang w:val="en-GB"/>
        </w:rPr>
        <w:t xml:space="preserve">The Central Bank of Djibouti is responsible for promoting Islamic Finance in general and Islamic Microfinance specifically. Islamic banking emerged in 2006 and accounts for approximately 20 percent of the total banking assets in the country. Nevertheless, a large fragment of the population opts out from using the traditional banking services, based on their Islamic religious beliefs. According to the World Bank </w:t>
      </w:r>
      <w:proofErr w:type="spellStart"/>
      <w:r w:rsidR="00687248" w:rsidRPr="00090E48">
        <w:rPr>
          <w:rFonts w:ascii="Times New Roman" w:hAnsi="Times New Roman"/>
          <w:sz w:val="24"/>
          <w:lang w:val="en-GB"/>
        </w:rPr>
        <w:t>Findex</w:t>
      </w:r>
      <w:proofErr w:type="spellEnd"/>
      <w:r w:rsidR="00687248" w:rsidRPr="00090E48">
        <w:rPr>
          <w:rFonts w:ascii="Times New Roman" w:hAnsi="Times New Roman"/>
          <w:sz w:val="24"/>
          <w:lang w:val="en-GB"/>
        </w:rPr>
        <w:t xml:space="preserve"> Database 2011 for Djibouti, the percentage of adults that do not have an account at a bank or another type of formal financial institution due to religious reasons is 22%. This is a significant amount, indicating that there is potential demand for Islamic financial products and services in the country. The development of Islamic finance in Djibouti could provide a mechanism for enabling financial access to the segment of the society that voluntarily avoids engaging in financial activities due to non-compliance with their religious beliefs. Additionally, the overall microfinance sector in the country can broaden its reach by offering Islamic microfinance services in communities averse to using conventional financial instruments</w:t>
      </w:r>
      <w:r w:rsidR="00F91FF6">
        <w:rPr>
          <w:rStyle w:val="FootnoteReference"/>
          <w:rFonts w:ascii="Times New Roman" w:hAnsi="Times New Roman"/>
          <w:sz w:val="24"/>
          <w:lang w:val="en-GB"/>
        </w:rPr>
        <w:footnoteReference w:id="2"/>
      </w:r>
      <w:r w:rsidR="00687248" w:rsidRPr="00090E48">
        <w:rPr>
          <w:rFonts w:ascii="Times New Roman" w:hAnsi="Times New Roman"/>
          <w:sz w:val="24"/>
          <w:lang w:val="en-GB"/>
        </w:rPr>
        <w:t xml:space="preserve">. </w:t>
      </w:r>
    </w:p>
    <w:p w14:paraId="5DEF5E77" w14:textId="194FBF80" w:rsidR="00687248" w:rsidRDefault="00687248" w:rsidP="00687248">
      <w:pPr>
        <w:jc w:val="both"/>
        <w:rPr>
          <w:rFonts w:ascii="Times New Roman" w:hAnsi="Times New Roman"/>
          <w:sz w:val="24"/>
          <w:lang w:val="en-GB"/>
        </w:rPr>
      </w:pPr>
      <w:r w:rsidRPr="008E3BA6">
        <w:rPr>
          <w:rFonts w:ascii="Times New Roman" w:hAnsi="Times New Roman"/>
          <w:sz w:val="24"/>
          <w:lang w:val="en-GB"/>
        </w:rPr>
        <w:t xml:space="preserve">With the aim of effectively addressing the problem of financial exclusion and poverty, the Islamic microfinance pilot project was introduced in 2011 by the Government of </w:t>
      </w:r>
      <w:proofErr w:type="spellStart"/>
      <w:r w:rsidRPr="008E3BA6">
        <w:rPr>
          <w:rFonts w:ascii="Times New Roman" w:hAnsi="Times New Roman"/>
          <w:sz w:val="24"/>
          <w:lang w:val="en-GB"/>
        </w:rPr>
        <w:t>Balbala</w:t>
      </w:r>
      <w:proofErr w:type="spellEnd"/>
      <w:r w:rsidRPr="008E3BA6">
        <w:rPr>
          <w:rFonts w:ascii="Times New Roman" w:hAnsi="Times New Roman"/>
          <w:sz w:val="24"/>
          <w:lang w:val="en-GB"/>
        </w:rPr>
        <w:t xml:space="preserve">, supported by the Islamic Development Bank, and it involves an array of Islamic financial products, such as </w:t>
      </w:r>
      <w:proofErr w:type="spellStart"/>
      <w:r w:rsidRPr="008E3BA6">
        <w:rPr>
          <w:rFonts w:ascii="Times New Roman" w:hAnsi="Times New Roman"/>
          <w:sz w:val="24"/>
          <w:lang w:val="en-GB"/>
        </w:rPr>
        <w:t>Murabahah</w:t>
      </w:r>
      <w:proofErr w:type="spellEnd"/>
      <w:r w:rsidRPr="008E3BA6">
        <w:rPr>
          <w:rFonts w:ascii="Times New Roman" w:hAnsi="Times New Roman"/>
          <w:sz w:val="24"/>
          <w:lang w:val="en-GB"/>
        </w:rPr>
        <w:t xml:space="preserve">, </w:t>
      </w:r>
      <w:proofErr w:type="spellStart"/>
      <w:r w:rsidRPr="008E3BA6">
        <w:rPr>
          <w:rFonts w:ascii="Times New Roman" w:hAnsi="Times New Roman"/>
          <w:sz w:val="24"/>
          <w:lang w:val="en-GB"/>
        </w:rPr>
        <w:t>Mudharabah</w:t>
      </w:r>
      <w:proofErr w:type="spellEnd"/>
      <w:r w:rsidRPr="008E3BA6">
        <w:rPr>
          <w:rFonts w:ascii="Times New Roman" w:hAnsi="Times New Roman"/>
          <w:sz w:val="24"/>
          <w:lang w:val="en-GB"/>
        </w:rPr>
        <w:t xml:space="preserve"> and </w:t>
      </w:r>
      <w:proofErr w:type="spellStart"/>
      <w:r w:rsidRPr="008E3BA6">
        <w:rPr>
          <w:rFonts w:ascii="Times New Roman" w:hAnsi="Times New Roman"/>
          <w:sz w:val="24"/>
          <w:lang w:val="en-GB"/>
        </w:rPr>
        <w:t>Qar</w:t>
      </w:r>
      <w:r>
        <w:rPr>
          <w:rFonts w:ascii="Times New Roman" w:hAnsi="Times New Roman"/>
          <w:sz w:val="24"/>
          <w:lang w:val="en-GB"/>
        </w:rPr>
        <w:t>d</w:t>
      </w:r>
      <w:proofErr w:type="spellEnd"/>
      <w:r>
        <w:rPr>
          <w:rFonts w:ascii="Times New Roman" w:hAnsi="Times New Roman"/>
          <w:sz w:val="24"/>
          <w:lang w:val="en-GB"/>
        </w:rPr>
        <w:t xml:space="preserve"> Hasan. </w:t>
      </w:r>
      <w:r w:rsidRPr="008E3BA6">
        <w:rPr>
          <w:rFonts w:ascii="Times New Roman" w:hAnsi="Times New Roman"/>
          <w:sz w:val="24"/>
          <w:lang w:val="en-GB"/>
        </w:rPr>
        <w:t>Nonetheless, Islamic microfinance in Djibouti faces serious challenges, such as the absence of an enabling legal, fiscal and social framework, the shortage of local microfinance and Shariah experts, the scarcity of long-term resources for microfinance institutions, and the lack of interest from Islamic banks for entering the microfinance sector. Additionally, the overall Islamic microfinance sector in the country is rather small, as it accounts for less than one percent of total industry assets.</w:t>
      </w:r>
      <w:r>
        <w:rPr>
          <w:rFonts w:ascii="Times New Roman" w:hAnsi="Times New Roman"/>
          <w:sz w:val="24"/>
          <w:lang w:val="en-GB"/>
        </w:rPr>
        <w:t xml:space="preserve"> </w:t>
      </w:r>
      <w:r w:rsidRPr="008E3BA6">
        <w:rPr>
          <w:rFonts w:ascii="Times New Roman" w:hAnsi="Times New Roman"/>
          <w:sz w:val="24"/>
          <w:lang w:val="en-GB"/>
        </w:rPr>
        <w:t>Islamic banks and commercial banks with Islamic windows could potentially be the key microfinance providers in Djibouti. In addition to having a wider reach, greater expertise, skilled personnel and a track record of providing financial services compared to potential microfinance institutions set up specifically for the purpose of solely providing microfinance, commercial banks face lower risk, as their portfolios are diversified by different services and instruments, and their overall profitability is not de</w:t>
      </w:r>
      <w:r>
        <w:rPr>
          <w:rFonts w:ascii="Times New Roman" w:hAnsi="Times New Roman"/>
          <w:sz w:val="24"/>
          <w:lang w:val="en-GB"/>
        </w:rPr>
        <w:t xml:space="preserve">pendent on microfinance alone. </w:t>
      </w:r>
    </w:p>
    <w:p w14:paraId="2028158B" w14:textId="530C0939" w:rsidR="00341CE5" w:rsidRDefault="00341CE5" w:rsidP="00687248">
      <w:pPr>
        <w:jc w:val="both"/>
        <w:rPr>
          <w:rFonts w:ascii="Times New Roman" w:hAnsi="Times New Roman"/>
          <w:sz w:val="24"/>
          <w:lang w:val="en-GB"/>
        </w:rPr>
      </w:pPr>
      <w:r>
        <w:rPr>
          <w:rFonts w:ascii="Times New Roman" w:hAnsi="Times New Roman"/>
          <w:sz w:val="24"/>
          <w:lang w:val="en-GB"/>
        </w:rPr>
        <w:t>In addition, it is important to integrate the microfinance institutions within selected value chains</w:t>
      </w:r>
      <w:r w:rsidR="00652444">
        <w:rPr>
          <w:rFonts w:ascii="Times New Roman" w:hAnsi="Times New Roman"/>
          <w:sz w:val="24"/>
          <w:lang w:val="en-GB"/>
        </w:rPr>
        <w:t xml:space="preserve"> through an economic empowerment approach to achieve high </w:t>
      </w:r>
      <w:r w:rsidR="00CB0411">
        <w:rPr>
          <w:rFonts w:ascii="Times New Roman" w:hAnsi="Times New Roman"/>
          <w:sz w:val="24"/>
          <w:lang w:val="en-GB"/>
        </w:rPr>
        <w:t>socio-economic</w:t>
      </w:r>
      <w:r w:rsidR="00652444">
        <w:rPr>
          <w:rFonts w:ascii="Times New Roman" w:hAnsi="Times New Roman"/>
          <w:sz w:val="24"/>
          <w:lang w:val="en-GB"/>
        </w:rPr>
        <w:t xml:space="preserve"> impact</w:t>
      </w:r>
      <w:r w:rsidR="00716405">
        <w:rPr>
          <w:rFonts w:ascii="Times New Roman" w:hAnsi="Times New Roman"/>
          <w:sz w:val="24"/>
          <w:lang w:val="en-GB"/>
        </w:rPr>
        <w:t xml:space="preserve">, which in turn can </w:t>
      </w:r>
      <w:r w:rsidR="0089079F">
        <w:rPr>
          <w:rFonts w:ascii="Times New Roman" w:hAnsi="Times New Roman"/>
          <w:sz w:val="24"/>
          <w:lang w:val="en-GB"/>
        </w:rPr>
        <w:t>ensure the sustainability of micro</w:t>
      </w:r>
      <w:r w:rsidR="00C2728D">
        <w:rPr>
          <w:rFonts w:ascii="Times New Roman" w:hAnsi="Times New Roman"/>
          <w:sz w:val="24"/>
          <w:lang w:val="en-GB"/>
        </w:rPr>
        <w:t>-p</w:t>
      </w:r>
      <w:r w:rsidR="0089079F">
        <w:rPr>
          <w:rFonts w:ascii="Times New Roman" w:hAnsi="Times New Roman"/>
          <w:sz w:val="24"/>
          <w:lang w:val="en-GB"/>
        </w:rPr>
        <w:t xml:space="preserve">rojects and </w:t>
      </w:r>
      <w:r w:rsidR="00CB0411">
        <w:rPr>
          <w:rFonts w:ascii="Times New Roman" w:hAnsi="Times New Roman"/>
          <w:sz w:val="24"/>
          <w:lang w:val="en-GB"/>
        </w:rPr>
        <w:t>long-term</w:t>
      </w:r>
      <w:r w:rsidR="0089079F">
        <w:rPr>
          <w:rFonts w:ascii="Times New Roman" w:hAnsi="Times New Roman"/>
          <w:sz w:val="24"/>
          <w:lang w:val="en-GB"/>
        </w:rPr>
        <w:t xml:space="preserve"> jobs in vulnerable sectors. </w:t>
      </w:r>
    </w:p>
    <w:p w14:paraId="1F1106C2" w14:textId="77777777" w:rsidR="00687248" w:rsidRPr="00687248" w:rsidRDefault="00687248" w:rsidP="00090E48">
      <w:pPr>
        <w:jc w:val="both"/>
        <w:rPr>
          <w:rFonts w:ascii="Times New Roman" w:hAnsi="Times New Roman"/>
          <w:sz w:val="24"/>
          <w:lang w:val="en-GB"/>
        </w:rPr>
      </w:pPr>
      <w:r>
        <w:rPr>
          <w:rFonts w:ascii="Times New Roman" w:hAnsi="Times New Roman"/>
          <w:sz w:val="24"/>
          <w:lang w:val="en-GB"/>
        </w:rPr>
        <w:t>T</w:t>
      </w:r>
      <w:r w:rsidRPr="008E3BA6">
        <w:rPr>
          <w:rFonts w:ascii="Times New Roman" w:hAnsi="Times New Roman"/>
          <w:sz w:val="24"/>
          <w:lang w:val="en-GB"/>
        </w:rPr>
        <w:t>he Government of Djibouti has launched on 23 April 2020 a National Solidarity Pact (NSP) to respond to the health, economic and social challenges of the outbreak</w:t>
      </w:r>
      <w:r w:rsidRPr="00541D30">
        <w:rPr>
          <w:rFonts w:ascii="Times New Roman" w:hAnsi="Times New Roman"/>
          <w:sz w:val="24"/>
          <w:lang w:val="en-GB"/>
        </w:rPr>
        <w:t xml:space="preserve"> </w:t>
      </w:r>
      <w:r w:rsidRPr="008E3BA6">
        <w:rPr>
          <w:rFonts w:ascii="Times New Roman" w:hAnsi="Times New Roman"/>
          <w:sz w:val="24"/>
          <w:lang w:val="en-GB"/>
        </w:rPr>
        <w:t xml:space="preserve">of COVID-19. Proposed actions to fight Covid-19 on the NSP mainly consist of 4 pillars, tightening the social net, ensuring business continuity for affected businesses, minimizing financial influences </w:t>
      </w:r>
      <w:r w:rsidRPr="008E3BA6">
        <w:rPr>
          <w:rFonts w:ascii="Times New Roman" w:hAnsi="Times New Roman"/>
          <w:sz w:val="24"/>
          <w:lang w:val="en-GB"/>
        </w:rPr>
        <w:lastRenderedPageBreak/>
        <w:t>among MSMEs and mobilizing resources to respond to Covid-19 from both public and private sectors.</w:t>
      </w:r>
    </w:p>
    <w:p w14:paraId="127D2478" w14:textId="228B8C10" w:rsidR="00CB12FA" w:rsidRDefault="00090E48" w:rsidP="00090E48">
      <w:pPr>
        <w:jc w:val="both"/>
        <w:rPr>
          <w:rFonts w:ascii="Times New Roman" w:hAnsi="Times New Roman"/>
          <w:sz w:val="24"/>
          <w:lang w:val="en-GB"/>
        </w:rPr>
      </w:pPr>
      <w:r w:rsidRPr="008E3BA6">
        <w:rPr>
          <w:rFonts w:ascii="Times New Roman" w:hAnsi="Times New Roman"/>
          <w:sz w:val="24"/>
          <w:lang w:val="en-GB"/>
        </w:rPr>
        <w:t>In line with national response to COVID-19</w:t>
      </w:r>
      <w:r>
        <w:rPr>
          <w:rFonts w:ascii="Times New Roman" w:hAnsi="Times New Roman"/>
          <w:sz w:val="24"/>
          <w:lang w:val="en-GB"/>
        </w:rPr>
        <w:t>,</w:t>
      </w:r>
      <w:r w:rsidRPr="008E3BA6">
        <w:rPr>
          <w:rFonts w:ascii="Times New Roman" w:hAnsi="Times New Roman"/>
          <w:sz w:val="24"/>
          <w:lang w:val="en-GB"/>
        </w:rPr>
        <w:t xml:space="preserve"> UNDP contributed to the </w:t>
      </w:r>
      <w:r>
        <w:rPr>
          <w:rFonts w:ascii="Times New Roman" w:hAnsi="Times New Roman"/>
          <w:sz w:val="24"/>
          <w:lang w:val="en-GB"/>
        </w:rPr>
        <w:t xml:space="preserve">formulation </w:t>
      </w:r>
      <w:r w:rsidRPr="008E3BA6">
        <w:rPr>
          <w:rFonts w:ascii="Times New Roman" w:hAnsi="Times New Roman"/>
          <w:sz w:val="24"/>
          <w:lang w:val="en-GB"/>
        </w:rPr>
        <w:t xml:space="preserve">of </w:t>
      </w:r>
      <w:r>
        <w:rPr>
          <w:rFonts w:ascii="Times New Roman" w:hAnsi="Times New Roman"/>
          <w:sz w:val="24"/>
          <w:lang w:val="en-GB"/>
        </w:rPr>
        <w:t xml:space="preserve">the </w:t>
      </w:r>
      <w:r w:rsidRPr="008E3BA6">
        <w:rPr>
          <w:rFonts w:ascii="Times New Roman" w:hAnsi="Times New Roman"/>
          <w:sz w:val="24"/>
          <w:lang w:val="en-GB"/>
        </w:rPr>
        <w:t>National Solidarity Pact (NSP) from the angles of social and economic measures. UNDP supports through maintain and rescue of livelihoods to vulnerable people such as women headed households</w:t>
      </w:r>
      <w:r>
        <w:rPr>
          <w:rFonts w:ascii="Times New Roman" w:hAnsi="Times New Roman"/>
          <w:sz w:val="24"/>
          <w:lang w:val="en-GB"/>
        </w:rPr>
        <w:t xml:space="preserve">, </w:t>
      </w:r>
      <w:r w:rsidRPr="008E3BA6">
        <w:rPr>
          <w:rFonts w:ascii="Times New Roman" w:hAnsi="Times New Roman"/>
          <w:sz w:val="24"/>
          <w:lang w:val="en-GB"/>
        </w:rPr>
        <w:t>refugees, elderlies</w:t>
      </w:r>
      <w:r w:rsidR="00B34AC4">
        <w:rPr>
          <w:rFonts w:ascii="Times New Roman" w:hAnsi="Times New Roman"/>
          <w:sz w:val="24"/>
          <w:lang w:val="en-GB"/>
        </w:rPr>
        <w:t xml:space="preserve"> and</w:t>
      </w:r>
      <w:r w:rsidRPr="008E3BA6">
        <w:rPr>
          <w:rFonts w:ascii="Times New Roman" w:hAnsi="Times New Roman"/>
          <w:sz w:val="24"/>
          <w:lang w:val="en-GB"/>
        </w:rPr>
        <w:t xml:space="preserve"> persons with disabilities. UNDP launched the project “Rising Djibouti” to assist the government of Djibouti </w:t>
      </w:r>
      <w:r>
        <w:rPr>
          <w:rFonts w:ascii="Times New Roman" w:hAnsi="Times New Roman"/>
          <w:sz w:val="24"/>
          <w:lang w:val="en-GB"/>
        </w:rPr>
        <w:t xml:space="preserve">in </w:t>
      </w:r>
      <w:r w:rsidRPr="008E3BA6">
        <w:rPr>
          <w:rFonts w:ascii="Times New Roman" w:hAnsi="Times New Roman"/>
          <w:sz w:val="24"/>
          <w:lang w:val="en-GB"/>
        </w:rPr>
        <w:t>rais</w:t>
      </w:r>
      <w:r>
        <w:rPr>
          <w:rFonts w:ascii="Times New Roman" w:hAnsi="Times New Roman"/>
          <w:sz w:val="24"/>
          <w:lang w:val="en-GB"/>
        </w:rPr>
        <w:t>ing</w:t>
      </w:r>
      <w:r w:rsidRPr="008E3BA6">
        <w:rPr>
          <w:rFonts w:ascii="Times New Roman" w:hAnsi="Times New Roman"/>
          <w:sz w:val="24"/>
          <w:lang w:val="en-GB"/>
        </w:rPr>
        <w:t xml:space="preserve"> awareness</w:t>
      </w:r>
      <w:r>
        <w:rPr>
          <w:rFonts w:ascii="Times New Roman" w:hAnsi="Times New Roman"/>
          <w:sz w:val="24"/>
          <w:lang w:val="en-GB"/>
        </w:rPr>
        <w:t xml:space="preserve">. The project also </w:t>
      </w:r>
      <w:r w:rsidRPr="008E3BA6">
        <w:rPr>
          <w:rFonts w:ascii="Times New Roman" w:hAnsi="Times New Roman"/>
          <w:sz w:val="24"/>
          <w:lang w:val="en-GB"/>
        </w:rPr>
        <w:t>pro</w:t>
      </w:r>
      <w:r>
        <w:rPr>
          <w:rFonts w:ascii="Times New Roman" w:hAnsi="Times New Roman"/>
          <w:sz w:val="24"/>
          <w:lang w:val="en-GB"/>
        </w:rPr>
        <w:t>motes</w:t>
      </w:r>
      <w:r w:rsidRPr="008E3BA6">
        <w:rPr>
          <w:rFonts w:ascii="Times New Roman" w:hAnsi="Times New Roman"/>
          <w:sz w:val="24"/>
          <w:lang w:val="en-GB"/>
        </w:rPr>
        <w:t xml:space="preserve"> various instruments to the affected MSMEs </w:t>
      </w:r>
      <w:r>
        <w:rPr>
          <w:rFonts w:ascii="Times New Roman" w:hAnsi="Times New Roman"/>
          <w:sz w:val="24"/>
          <w:lang w:val="en-GB"/>
        </w:rPr>
        <w:t xml:space="preserve">in order </w:t>
      </w:r>
      <w:r w:rsidRPr="008E3BA6">
        <w:rPr>
          <w:rFonts w:ascii="Times New Roman" w:hAnsi="Times New Roman"/>
          <w:sz w:val="24"/>
          <w:lang w:val="en-GB"/>
        </w:rPr>
        <w:t>to establish new business</w:t>
      </w:r>
      <w:r w:rsidR="00EC56A5">
        <w:rPr>
          <w:rFonts w:ascii="Times New Roman" w:hAnsi="Times New Roman"/>
          <w:sz w:val="24"/>
          <w:lang w:val="en-GB"/>
        </w:rPr>
        <w:t>es</w:t>
      </w:r>
      <w:r w:rsidRPr="008E3BA6">
        <w:rPr>
          <w:rFonts w:ascii="Times New Roman" w:hAnsi="Times New Roman"/>
          <w:sz w:val="24"/>
          <w:lang w:val="en-GB"/>
        </w:rPr>
        <w:t xml:space="preserve"> </w:t>
      </w:r>
      <w:r>
        <w:rPr>
          <w:rFonts w:ascii="Times New Roman" w:hAnsi="Times New Roman"/>
          <w:sz w:val="24"/>
          <w:lang w:val="en-GB"/>
        </w:rPr>
        <w:t xml:space="preserve">and assist </w:t>
      </w:r>
      <w:r w:rsidRPr="008E3BA6">
        <w:rPr>
          <w:rFonts w:ascii="Times New Roman" w:hAnsi="Times New Roman"/>
          <w:sz w:val="24"/>
          <w:lang w:val="en-GB"/>
        </w:rPr>
        <w:t xml:space="preserve">the economy in Djibouti </w:t>
      </w:r>
      <w:r>
        <w:rPr>
          <w:rFonts w:ascii="Times New Roman" w:hAnsi="Times New Roman"/>
          <w:sz w:val="24"/>
          <w:lang w:val="en-GB"/>
        </w:rPr>
        <w:t xml:space="preserve">to </w:t>
      </w:r>
      <w:r w:rsidRPr="008E3BA6">
        <w:rPr>
          <w:rFonts w:ascii="Times New Roman" w:hAnsi="Times New Roman"/>
          <w:sz w:val="24"/>
          <w:lang w:val="en-GB"/>
        </w:rPr>
        <w:t xml:space="preserve">bounce forward. </w:t>
      </w:r>
    </w:p>
    <w:p w14:paraId="4478957C" w14:textId="38395531" w:rsidR="002F1749" w:rsidRPr="00687248" w:rsidRDefault="002F1749" w:rsidP="002F1749">
      <w:pPr>
        <w:jc w:val="both"/>
        <w:rPr>
          <w:rFonts w:ascii="Times New Roman" w:hAnsi="Times New Roman"/>
          <w:b/>
          <w:bCs/>
          <w:i/>
          <w:iCs/>
          <w:color w:val="000000"/>
          <w:sz w:val="24"/>
        </w:rPr>
      </w:pPr>
      <w:r>
        <w:rPr>
          <w:rFonts w:ascii="Times New Roman" w:hAnsi="Times New Roman"/>
          <w:bCs/>
          <w:iCs/>
          <w:color w:val="000000"/>
          <w:sz w:val="24"/>
        </w:rPr>
        <w:t>T</w:t>
      </w:r>
      <w:r w:rsidRPr="005E3C60">
        <w:rPr>
          <w:rFonts w:ascii="Times New Roman" w:hAnsi="Times New Roman"/>
          <w:sz w:val="24"/>
          <w:lang w:val="en-GB"/>
        </w:rPr>
        <w:t>o respond to and mitigate the emergency impacts of COVID-19, the Government of Djibouti has signed with</w:t>
      </w:r>
      <w:r>
        <w:rPr>
          <w:rFonts w:ascii="Times New Roman" w:hAnsi="Times New Roman"/>
          <w:sz w:val="24"/>
          <w:lang w:val="en-GB"/>
        </w:rPr>
        <w:t xml:space="preserve"> the IsDB a project to enhance</w:t>
      </w:r>
      <w:r w:rsidRPr="005E3C60">
        <w:rPr>
          <w:rFonts w:ascii="Times New Roman" w:hAnsi="Times New Roman"/>
          <w:sz w:val="24"/>
          <w:lang w:val="en-GB"/>
        </w:rPr>
        <w:t xml:space="preserve"> Economic Resilience of vulnerable SMEs in Djibouti. The project adopts multiple approaches to address the impact, i</w:t>
      </w:r>
      <w:r w:rsidRPr="005E3C60">
        <w:rPr>
          <w:rFonts w:ascii="Times New Roman" w:hAnsi="Times New Roman"/>
          <w:color w:val="000000"/>
          <w:sz w:val="24"/>
          <w:lang w:val="en-GB"/>
        </w:rPr>
        <w:t xml:space="preserve">ncluding establishing and operationalization of Islamic microfinance systems. </w:t>
      </w:r>
      <w:r w:rsidRPr="005E3C60">
        <w:rPr>
          <w:rFonts w:ascii="Times New Roman" w:hAnsi="Times New Roman"/>
          <w:sz w:val="24"/>
          <w:lang w:val="en-GB"/>
        </w:rPr>
        <w:t xml:space="preserve">UNDP, as lead partner for financial inclusion in Djibouti, will collaborate with the Ministry of Finance and Economy (MOFE)/CLE to support the implementation of the IsDB funded project. UNDP will coordinate with the key stakeholders involved: Central Bank, ADDS, CEPECs, commercial banks </w:t>
      </w:r>
      <w:r w:rsidRPr="005E3C60">
        <w:rPr>
          <w:rFonts w:ascii="Times New Roman" w:hAnsi="Times New Roman"/>
          <w:color w:val="000000"/>
          <w:sz w:val="24"/>
          <w:lang w:val="en-GB"/>
        </w:rPr>
        <w:t xml:space="preserve">of Islamic microfinance instruments to help them better provide financing to potential borrowers. </w:t>
      </w:r>
    </w:p>
    <w:p w14:paraId="436CAC46" w14:textId="77777777" w:rsidR="006312FA" w:rsidRDefault="00CB12FA" w:rsidP="006312FA">
      <w:pPr>
        <w:rPr>
          <w:rFonts w:ascii="Times New Roman" w:hAnsi="Times New Roman"/>
          <w:b/>
          <w:bCs/>
          <w:i/>
          <w:iCs/>
          <w:color w:val="000000"/>
          <w:sz w:val="24"/>
        </w:rPr>
      </w:pPr>
      <w:r>
        <w:rPr>
          <w:rFonts w:ascii="Times New Roman" w:hAnsi="Times New Roman"/>
          <w:b/>
          <w:bCs/>
          <w:noProof/>
          <w:color w:val="1F3864"/>
          <w:sz w:val="24"/>
          <w:lang w:val="bs-Latn-BA" w:eastAsia="bs-Latn-BA"/>
        </w:rPr>
        <mc:AlternateContent>
          <mc:Choice Requires="wps">
            <w:drawing>
              <wp:anchor distT="0" distB="0" distL="114300" distR="114300" simplePos="0" relativeHeight="251656704" behindDoc="0" locked="0" layoutInCell="1" allowOverlap="1" wp14:anchorId="42A9BD3E" wp14:editId="04CDD875">
                <wp:simplePos x="0" y="0"/>
                <wp:positionH relativeFrom="column">
                  <wp:posOffset>-24130</wp:posOffset>
                </wp:positionH>
                <wp:positionV relativeFrom="paragraph">
                  <wp:posOffset>216535</wp:posOffset>
                </wp:positionV>
                <wp:extent cx="5800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ACE6A20"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9pt,17.05pt" to="454.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QczwEAAAMEAAAOAAAAZHJzL2Uyb0RvYy54bWysU01vEzEQvSPxHyzfyW5SFap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" strokecolor="black [3213]"/>
            </w:pict>
          </mc:Fallback>
        </mc:AlternateContent>
      </w:r>
      <w:r w:rsidR="00090E48" w:rsidRPr="00687248">
        <w:rPr>
          <w:rFonts w:ascii="Times New Roman" w:hAnsi="Times New Roman"/>
          <w:b/>
          <w:bCs/>
          <w:iCs/>
          <w:color w:val="000000"/>
          <w:sz w:val="24"/>
        </w:rPr>
        <w:t>Islamic Finance in Djibouti</w:t>
      </w:r>
      <w:r>
        <w:rPr>
          <w:rFonts w:ascii="Times New Roman" w:hAnsi="Times New Roman"/>
          <w:b/>
          <w:bCs/>
          <w:iCs/>
          <w:color w:val="000000"/>
          <w:sz w:val="24"/>
        </w:rPr>
        <w:t xml:space="preserve"> </w:t>
      </w:r>
    </w:p>
    <w:p w14:paraId="4909CAC4" w14:textId="77777777" w:rsidR="00140BD5" w:rsidRDefault="00090E48" w:rsidP="006312FA">
      <w:pPr>
        <w:jc w:val="both"/>
        <w:rPr>
          <w:rFonts w:ascii="Times New Roman" w:hAnsi="Times New Roman"/>
          <w:color w:val="000000"/>
          <w:sz w:val="24"/>
        </w:rPr>
      </w:pPr>
      <w:r w:rsidRPr="0062182B">
        <w:rPr>
          <w:rFonts w:ascii="Times New Roman" w:hAnsi="Times New Roman"/>
          <w:color w:val="000000"/>
          <w:sz w:val="24"/>
        </w:rPr>
        <w:t xml:space="preserve">Djibouti </w:t>
      </w:r>
      <w:r>
        <w:rPr>
          <w:rFonts w:ascii="Times New Roman" w:hAnsi="Times New Roman"/>
          <w:color w:val="000000"/>
          <w:sz w:val="24"/>
        </w:rPr>
        <w:t>bridges</w:t>
      </w:r>
      <w:r w:rsidRPr="0062182B">
        <w:rPr>
          <w:rFonts w:ascii="Times New Roman" w:hAnsi="Times New Roman"/>
          <w:color w:val="000000"/>
          <w:sz w:val="24"/>
        </w:rPr>
        <w:t xml:space="preserve"> the Arab Islamic world and the African continent. It has registered robust economic growth over the years. The country </w:t>
      </w:r>
      <w:r>
        <w:rPr>
          <w:rFonts w:ascii="Times New Roman" w:hAnsi="Times New Roman"/>
          <w:color w:val="000000"/>
          <w:sz w:val="24"/>
        </w:rPr>
        <w:t>introduced</w:t>
      </w:r>
      <w:r w:rsidRPr="0062182B">
        <w:rPr>
          <w:rFonts w:ascii="Times New Roman" w:hAnsi="Times New Roman"/>
          <w:color w:val="000000"/>
          <w:sz w:val="24"/>
        </w:rPr>
        <w:t xml:space="preserve"> Islamic banking in 2006 with the establishment of an Islamic bank branch. Since then, Islamic finance </w:t>
      </w:r>
      <w:r>
        <w:rPr>
          <w:rFonts w:ascii="Times New Roman" w:hAnsi="Times New Roman"/>
          <w:color w:val="000000"/>
          <w:sz w:val="24"/>
        </w:rPr>
        <w:t xml:space="preserve">has </w:t>
      </w:r>
      <w:r w:rsidRPr="0062182B">
        <w:rPr>
          <w:rFonts w:ascii="Times New Roman" w:hAnsi="Times New Roman"/>
          <w:color w:val="000000"/>
          <w:sz w:val="24"/>
        </w:rPr>
        <w:t xml:space="preserve">spread </w:t>
      </w:r>
      <w:r>
        <w:rPr>
          <w:rFonts w:ascii="Times New Roman" w:hAnsi="Times New Roman"/>
          <w:color w:val="000000"/>
          <w:sz w:val="24"/>
        </w:rPr>
        <w:t>rapidly</w:t>
      </w:r>
      <w:r w:rsidRPr="0062182B">
        <w:rPr>
          <w:rFonts w:ascii="Times New Roman" w:hAnsi="Times New Roman"/>
          <w:color w:val="000000"/>
          <w:sz w:val="24"/>
        </w:rPr>
        <w:t xml:space="preserve"> and </w:t>
      </w:r>
      <w:r>
        <w:rPr>
          <w:rFonts w:ascii="Times New Roman" w:hAnsi="Times New Roman"/>
          <w:color w:val="000000"/>
          <w:sz w:val="24"/>
        </w:rPr>
        <w:t>gained significant popularity among people</w:t>
      </w:r>
      <w:r w:rsidRPr="0062182B">
        <w:rPr>
          <w:rFonts w:ascii="Times New Roman" w:hAnsi="Times New Roman"/>
          <w:color w:val="000000"/>
          <w:sz w:val="24"/>
        </w:rPr>
        <w:t xml:space="preserve">. Today, three full-fledged Islamic banks are </w:t>
      </w:r>
      <w:r>
        <w:rPr>
          <w:rFonts w:ascii="Times New Roman" w:hAnsi="Times New Roman"/>
          <w:color w:val="000000"/>
          <w:sz w:val="24"/>
        </w:rPr>
        <w:t>operating</w:t>
      </w:r>
      <w:r w:rsidRPr="0062182B">
        <w:rPr>
          <w:rFonts w:ascii="Times New Roman" w:hAnsi="Times New Roman"/>
          <w:color w:val="000000"/>
          <w:sz w:val="24"/>
        </w:rPr>
        <w:t xml:space="preserve"> in the country. Islamic banking assets constitute about 17 percent of the banking industry. </w:t>
      </w:r>
      <w:r w:rsidR="00560280">
        <w:rPr>
          <w:rFonts w:ascii="Times New Roman" w:hAnsi="Times New Roman"/>
          <w:color w:val="000000"/>
          <w:sz w:val="24"/>
        </w:rPr>
        <w:t xml:space="preserve">We note that this level of market share far exceeds that of Islamic banking in Indonesia, where Islamic finance is well-integrated into the national SDG </w:t>
      </w:r>
      <w:r w:rsidR="00140BD5">
        <w:rPr>
          <w:rFonts w:ascii="Times New Roman" w:hAnsi="Times New Roman"/>
          <w:color w:val="000000"/>
          <w:sz w:val="24"/>
        </w:rPr>
        <w:t>plan.</w:t>
      </w:r>
    </w:p>
    <w:p w14:paraId="445832B2" w14:textId="08A0E0F7" w:rsidR="0052668B" w:rsidRPr="00CB12FA" w:rsidRDefault="00140BD5" w:rsidP="006312FA">
      <w:pPr>
        <w:jc w:val="both"/>
        <w:rPr>
          <w:rFonts w:ascii="Times New Roman" w:hAnsi="Times New Roman"/>
          <w:color w:val="000000"/>
          <w:sz w:val="24"/>
        </w:rPr>
      </w:pPr>
      <w:r>
        <w:rPr>
          <w:rFonts w:ascii="Times New Roman" w:hAnsi="Times New Roman"/>
          <w:color w:val="000000"/>
          <w:sz w:val="24"/>
        </w:rPr>
        <w:t>In Djibouti, t</w:t>
      </w:r>
      <w:r w:rsidR="00090E48">
        <w:rPr>
          <w:rFonts w:ascii="Times New Roman" w:hAnsi="Times New Roman"/>
          <w:color w:val="000000"/>
          <w:sz w:val="24"/>
        </w:rPr>
        <w:t xml:space="preserve">he untapped demand of a majority </w:t>
      </w:r>
      <w:r w:rsidR="00090E48" w:rsidRPr="0062182B">
        <w:rPr>
          <w:rFonts w:ascii="Times New Roman" w:hAnsi="Times New Roman"/>
          <w:color w:val="000000"/>
          <w:sz w:val="24"/>
        </w:rPr>
        <w:t>Muslim population, the low</w:t>
      </w:r>
      <w:r w:rsidR="00090E48">
        <w:rPr>
          <w:rFonts w:ascii="Times New Roman" w:hAnsi="Times New Roman"/>
          <w:color w:val="000000"/>
          <w:sz w:val="24"/>
        </w:rPr>
        <w:t xml:space="preserve"> level of</w:t>
      </w:r>
      <w:r w:rsidR="00090E48" w:rsidRPr="0062182B">
        <w:rPr>
          <w:rFonts w:ascii="Times New Roman" w:hAnsi="Times New Roman"/>
          <w:color w:val="000000"/>
          <w:sz w:val="24"/>
        </w:rPr>
        <w:t xml:space="preserve"> financial inclusion and the introduction of new Islamic banking regulations </w:t>
      </w:r>
      <w:r w:rsidR="00090E48">
        <w:rPr>
          <w:rFonts w:ascii="Times New Roman" w:hAnsi="Times New Roman"/>
          <w:color w:val="000000"/>
          <w:sz w:val="24"/>
        </w:rPr>
        <w:t>signal</w:t>
      </w:r>
      <w:r w:rsidR="00090E48" w:rsidRPr="0062182B">
        <w:rPr>
          <w:rFonts w:ascii="Times New Roman" w:hAnsi="Times New Roman"/>
          <w:color w:val="000000"/>
          <w:sz w:val="24"/>
        </w:rPr>
        <w:t xml:space="preserve"> a potential for Islamic finance to further develop in the country</w:t>
      </w:r>
      <w:r w:rsidR="00090E48" w:rsidRPr="0062182B">
        <w:rPr>
          <w:rFonts w:ascii="Times New Roman" w:hAnsi="Times New Roman"/>
          <w:color w:val="000000"/>
          <w:sz w:val="24"/>
          <w:vertAlign w:val="superscript"/>
        </w:rPr>
        <w:footnoteReference w:id="3"/>
      </w:r>
      <w:r w:rsidR="00090E48">
        <w:rPr>
          <w:rFonts w:ascii="Times New Roman" w:hAnsi="Times New Roman"/>
          <w:color w:val="000000"/>
          <w:sz w:val="24"/>
        </w:rPr>
        <w:t>, which can be exploited through adequate technical assistance proposed in this section</w:t>
      </w:r>
      <w:r w:rsidR="00090E48" w:rsidRPr="0062182B">
        <w:rPr>
          <w:rFonts w:ascii="Times New Roman" w:hAnsi="Times New Roman"/>
          <w:color w:val="000000"/>
          <w:sz w:val="24"/>
        </w:rPr>
        <w:t xml:space="preserve">. </w:t>
      </w:r>
    </w:p>
    <w:p w14:paraId="2AE025B0" w14:textId="77777777" w:rsidR="006312FA" w:rsidRDefault="00CB12FA" w:rsidP="00733756">
      <w:pPr>
        <w:rPr>
          <w:rFonts w:ascii="Times New Roman" w:hAnsi="Times New Roman"/>
          <w:b/>
          <w:bCs/>
          <w:i/>
          <w:iCs/>
          <w:color w:val="000000"/>
          <w:sz w:val="24"/>
        </w:rPr>
      </w:pPr>
      <w:r>
        <w:rPr>
          <w:rFonts w:ascii="Times New Roman" w:hAnsi="Times New Roman"/>
          <w:b/>
          <w:bCs/>
          <w:noProof/>
          <w:color w:val="1F3864"/>
          <w:sz w:val="24"/>
          <w:lang w:val="bs-Latn-BA" w:eastAsia="bs-Latn-BA"/>
        </w:rPr>
        <mc:AlternateContent>
          <mc:Choice Requires="wps">
            <w:drawing>
              <wp:anchor distT="0" distB="0" distL="114300" distR="114300" simplePos="0" relativeHeight="251658752" behindDoc="0" locked="0" layoutInCell="1" allowOverlap="1" wp14:anchorId="28F289FE" wp14:editId="7BA4A0A6">
                <wp:simplePos x="0" y="0"/>
                <wp:positionH relativeFrom="column">
                  <wp:posOffset>-24130</wp:posOffset>
                </wp:positionH>
                <wp:positionV relativeFrom="paragraph">
                  <wp:posOffset>204470</wp:posOffset>
                </wp:positionV>
                <wp:extent cx="5800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A1ECB60"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pt,16.1pt" to="454.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XQzwEAAAMEAAAOAAAAZHJzL2Uyb0RvYy54bWysU01vEzEQvSPxHyzfyW6iFqp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" strokecolor="black [3213]"/>
            </w:pict>
          </mc:Fallback>
        </mc:AlternateContent>
      </w:r>
      <w:r w:rsidR="00733756" w:rsidRPr="00687248">
        <w:rPr>
          <w:rFonts w:ascii="Times New Roman" w:hAnsi="Times New Roman"/>
          <w:b/>
          <w:bCs/>
          <w:iCs/>
          <w:color w:val="000000"/>
          <w:sz w:val="24"/>
        </w:rPr>
        <w:t>Potential Partners</w:t>
      </w:r>
      <w:r w:rsidR="00733756">
        <w:rPr>
          <w:rFonts w:ascii="Times New Roman" w:hAnsi="Times New Roman"/>
          <w:b/>
          <w:bCs/>
          <w:i/>
          <w:iCs/>
          <w:color w:val="000000"/>
          <w:sz w:val="24"/>
        </w:rPr>
        <w:t xml:space="preserve"> </w:t>
      </w:r>
    </w:p>
    <w:p w14:paraId="08810452" w14:textId="128A83C7" w:rsidR="00455AC9" w:rsidRDefault="008454FC" w:rsidP="006312FA">
      <w:pPr>
        <w:jc w:val="both"/>
        <w:rPr>
          <w:rFonts w:ascii="Times New Roman" w:hAnsi="Times New Roman"/>
          <w:color w:val="000000"/>
          <w:sz w:val="24"/>
        </w:rPr>
      </w:pPr>
      <w:r>
        <w:rPr>
          <w:rFonts w:ascii="Times New Roman" w:hAnsi="Times New Roman"/>
          <w:b/>
          <w:color w:val="000000"/>
          <w:sz w:val="24"/>
        </w:rPr>
        <w:t>Participation Banks Association of Turkey (</w:t>
      </w:r>
      <w:r w:rsidR="00455AC9" w:rsidRPr="0004790D">
        <w:rPr>
          <w:rFonts w:ascii="Times New Roman" w:hAnsi="Times New Roman"/>
          <w:b/>
          <w:color w:val="000000"/>
          <w:sz w:val="24"/>
        </w:rPr>
        <w:t>TKBB</w:t>
      </w:r>
      <w:r>
        <w:rPr>
          <w:rFonts w:ascii="Times New Roman" w:hAnsi="Times New Roman"/>
          <w:b/>
          <w:color w:val="000000"/>
          <w:sz w:val="24"/>
        </w:rPr>
        <w:t>)</w:t>
      </w:r>
      <w:r w:rsidR="00455AC9">
        <w:rPr>
          <w:rFonts w:ascii="Times New Roman" w:hAnsi="Times New Roman"/>
          <w:color w:val="000000"/>
          <w:sz w:val="24"/>
        </w:rPr>
        <w:t xml:space="preserve">: </w:t>
      </w:r>
      <w:r w:rsidR="0004790D" w:rsidRPr="0004790D">
        <w:rPr>
          <w:rFonts w:ascii="Times New Roman" w:hAnsi="Times New Roman"/>
          <w:color w:val="000000"/>
          <w:sz w:val="24"/>
        </w:rPr>
        <w:t xml:space="preserve">The Participation Banks Association of Turkey (TKBB) is a professional public institution established in 2001 with a mandate to represent the participation banking sector at national and international levels. The TKBB is the main representative of the participation banking sector in Turkey and works with the government, regulators and other stakeholders to increase public awareness and understanding of the contribution the sector makes to the Turkish economy. The TKBB has a range of working </w:t>
      </w:r>
      <w:r w:rsidR="0004790D" w:rsidRPr="0004790D">
        <w:rPr>
          <w:rFonts w:ascii="Times New Roman" w:hAnsi="Times New Roman"/>
          <w:color w:val="000000"/>
          <w:sz w:val="24"/>
        </w:rPr>
        <w:lastRenderedPageBreak/>
        <w:t xml:space="preserve">committees to support member banks’ priority issues and also conducts extensive training </w:t>
      </w:r>
      <w:proofErr w:type="spellStart"/>
      <w:r w:rsidR="0004790D" w:rsidRPr="0004790D">
        <w:rPr>
          <w:rFonts w:ascii="Times New Roman" w:hAnsi="Times New Roman"/>
          <w:color w:val="000000"/>
          <w:sz w:val="24"/>
        </w:rPr>
        <w:t>programmes</w:t>
      </w:r>
      <w:proofErr w:type="spellEnd"/>
      <w:r w:rsidR="0004790D" w:rsidRPr="0004790D">
        <w:rPr>
          <w:rFonts w:ascii="Times New Roman" w:hAnsi="Times New Roman"/>
          <w:color w:val="000000"/>
          <w:sz w:val="24"/>
        </w:rPr>
        <w:t>.</w:t>
      </w:r>
    </w:p>
    <w:p w14:paraId="344EDC16" w14:textId="25336A4E" w:rsidR="00140BD5" w:rsidRPr="001E5BAF" w:rsidRDefault="00E73C9E" w:rsidP="006312FA">
      <w:pPr>
        <w:jc w:val="both"/>
        <w:rPr>
          <w:rFonts w:ascii="Times New Roman" w:hAnsi="Times New Roman"/>
          <w:color w:val="000000"/>
          <w:sz w:val="24"/>
          <w:lang w:val="bs-Latn-BA"/>
        </w:rPr>
      </w:pPr>
      <w:r>
        <w:rPr>
          <w:rFonts w:ascii="Times New Roman" w:hAnsi="Times New Roman"/>
          <w:bCs/>
          <w:iCs/>
          <w:color w:val="000000"/>
          <w:sz w:val="24"/>
        </w:rPr>
        <w:t xml:space="preserve">To </w:t>
      </w:r>
      <w:r w:rsidR="008063C6">
        <w:rPr>
          <w:rFonts w:ascii="Times New Roman" w:hAnsi="Times New Roman"/>
          <w:bCs/>
          <w:iCs/>
          <w:color w:val="000000"/>
          <w:sz w:val="24"/>
        </w:rPr>
        <w:t xml:space="preserve">foster the development of Islamic microfinance in Djibouti, </w:t>
      </w:r>
      <w:r w:rsidR="00B415D5" w:rsidRPr="00B415D5">
        <w:rPr>
          <w:rFonts w:ascii="Times New Roman" w:hAnsi="Times New Roman"/>
          <w:bCs/>
          <w:iCs/>
          <w:color w:val="000000"/>
          <w:sz w:val="24"/>
        </w:rPr>
        <w:t>UNDP’s Istanbul International Center for Private Sector in Development (</w:t>
      </w:r>
      <w:r w:rsidR="00B415D5">
        <w:rPr>
          <w:rFonts w:ascii="Times New Roman" w:hAnsi="Times New Roman"/>
          <w:bCs/>
          <w:iCs/>
          <w:color w:val="000000"/>
          <w:sz w:val="24"/>
        </w:rPr>
        <w:t xml:space="preserve">UNDP </w:t>
      </w:r>
      <w:r w:rsidR="00B415D5" w:rsidRPr="00B415D5">
        <w:rPr>
          <w:rFonts w:ascii="Times New Roman" w:hAnsi="Times New Roman"/>
          <w:bCs/>
          <w:iCs/>
          <w:color w:val="000000"/>
          <w:sz w:val="24"/>
        </w:rPr>
        <w:t>IICPSD)</w:t>
      </w:r>
      <w:r w:rsidR="00B415D5">
        <w:rPr>
          <w:rFonts w:ascii="Times New Roman" w:hAnsi="Times New Roman"/>
          <w:bCs/>
          <w:iCs/>
          <w:color w:val="000000"/>
          <w:sz w:val="24"/>
        </w:rPr>
        <w:t xml:space="preserve"> will partner with the </w:t>
      </w:r>
      <w:r w:rsidR="00226272" w:rsidRPr="0062182B">
        <w:rPr>
          <w:rFonts w:ascii="Times New Roman" w:hAnsi="Times New Roman"/>
          <w:color w:val="000000"/>
          <w:sz w:val="24"/>
          <w:lang w:val="bs-Latn-BA"/>
        </w:rPr>
        <w:t>Participation Banks Association of Turkey (TKBB)</w:t>
      </w:r>
      <w:r w:rsidR="00226272">
        <w:rPr>
          <w:rFonts w:ascii="Times New Roman" w:hAnsi="Times New Roman"/>
          <w:color w:val="000000"/>
          <w:sz w:val="24"/>
          <w:lang w:val="bs-Latn-BA"/>
        </w:rPr>
        <w:t>. Specifically, a Task Force within the TKBB</w:t>
      </w:r>
      <w:r w:rsidR="00226272" w:rsidRPr="0062182B">
        <w:rPr>
          <w:rFonts w:ascii="Times New Roman" w:hAnsi="Times New Roman"/>
          <w:color w:val="000000"/>
          <w:sz w:val="24"/>
          <w:lang w:val="bs-Latn-BA"/>
        </w:rPr>
        <w:t xml:space="preserve">, </w:t>
      </w:r>
      <w:r w:rsidR="00226272">
        <w:rPr>
          <w:rFonts w:ascii="Times New Roman" w:hAnsi="Times New Roman"/>
          <w:color w:val="000000"/>
          <w:sz w:val="24"/>
          <w:lang w:val="bs-Latn-BA"/>
        </w:rPr>
        <w:t xml:space="preserve">comprised of representatives </w:t>
      </w:r>
      <w:r w:rsidR="00226272" w:rsidRPr="0062182B">
        <w:rPr>
          <w:rFonts w:ascii="Times New Roman" w:hAnsi="Times New Roman"/>
          <w:color w:val="000000"/>
          <w:sz w:val="24"/>
          <w:lang w:val="bs-Latn-BA"/>
        </w:rPr>
        <w:t xml:space="preserve">from the TKBB, Central Advisory Board and </w:t>
      </w:r>
      <w:r w:rsidR="006779D6">
        <w:rPr>
          <w:rFonts w:ascii="Times New Roman" w:hAnsi="Times New Roman"/>
          <w:color w:val="000000"/>
          <w:sz w:val="24"/>
          <w:lang w:val="bs-Latn-BA"/>
        </w:rPr>
        <w:t>the participation</w:t>
      </w:r>
      <w:r w:rsidR="00226272" w:rsidRPr="0062182B">
        <w:rPr>
          <w:rFonts w:ascii="Times New Roman" w:hAnsi="Times New Roman"/>
          <w:color w:val="000000"/>
          <w:sz w:val="24"/>
          <w:lang w:val="bs-Latn-BA"/>
        </w:rPr>
        <w:t xml:space="preserve"> banks</w:t>
      </w:r>
      <w:r w:rsidR="00226272">
        <w:rPr>
          <w:rFonts w:ascii="Times New Roman" w:hAnsi="Times New Roman"/>
          <w:color w:val="000000"/>
          <w:sz w:val="24"/>
          <w:lang w:val="bs-Latn-BA"/>
        </w:rPr>
        <w:t>, will be set up. In addition, the TKBB will, throughout the enti</w:t>
      </w:r>
      <w:r w:rsidR="006779D6">
        <w:rPr>
          <w:rFonts w:ascii="Times New Roman" w:hAnsi="Times New Roman"/>
          <w:color w:val="000000"/>
          <w:sz w:val="24"/>
          <w:lang w:val="bs-Latn-BA"/>
        </w:rPr>
        <w:t>re duration of the project, have a</w:t>
      </w:r>
      <w:r w:rsidR="00226272">
        <w:rPr>
          <w:rFonts w:ascii="Times New Roman" w:hAnsi="Times New Roman"/>
          <w:color w:val="000000"/>
          <w:sz w:val="24"/>
          <w:lang w:val="bs-Latn-BA"/>
        </w:rPr>
        <w:t xml:space="preserve"> focal point for the collaboration and will assume an advisory role. </w:t>
      </w:r>
      <w:r w:rsidR="006F2D76">
        <w:rPr>
          <w:rFonts w:ascii="Times New Roman" w:hAnsi="Times New Roman"/>
          <w:color w:val="000000"/>
          <w:sz w:val="24"/>
          <w:lang w:val="bs-Latn-BA"/>
        </w:rPr>
        <w:t xml:space="preserve">Under an </w:t>
      </w:r>
      <w:r w:rsidR="00226272">
        <w:rPr>
          <w:rFonts w:ascii="Times New Roman" w:hAnsi="Times New Roman"/>
          <w:color w:val="000000"/>
          <w:sz w:val="24"/>
          <w:lang w:val="bs-Latn-BA"/>
        </w:rPr>
        <w:t>MoU</w:t>
      </w:r>
      <w:r w:rsidR="006F2D76">
        <w:rPr>
          <w:rFonts w:ascii="Times New Roman" w:hAnsi="Times New Roman"/>
          <w:color w:val="000000"/>
          <w:sz w:val="24"/>
          <w:lang w:val="bs-Latn-BA"/>
        </w:rPr>
        <w:t>,</w:t>
      </w:r>
      <w:r w:rsidR="00226272">
        <w:rPr>
          <w:rFonts w:ascii="Times New Roman" w:hAnsi="Times New Roman"/>
          <w:color w:val="000000"/>
          <w:sz w:val="24"/>
          <w:lang w:val="bs-Latn-BA"/>
        </w:rPr>
        <w:t xml:space="preserve"> signed between the </w:t>
      </w:r>
      <w:r w:rsidR="00226272" w:rsidRPr="0062182B">
        <w:rPr>
          <w:rFonts w:ascii="Times New Roman" w:hAnsi="Times New Roman"/>
          <w:color w:val="000000"/>
          <w:sz w:val="24"/>
          <w:lang w:val="bs-Latn-BA"/>
        </w:rPr>
        <w:t>TKBB and IICPSD</w:t>
      </w:r>
      <w:r w:rsidR="006F2D76">
        <w:rPr>
          <w:rFonts w:ascii="Times New Roman" w:hAnsi="Times New Roman"/>
          <w:color w:val="000000"/>
          <w:sz w:val="24"/>
          <w:lang w:val="bs-Latn-BA"/>
        </w:rPr>
        <w:t>,</w:t>
      </w:r>
      <w:r w:rsidR="00226272">
        <w:rPr>
          <w:rFonts w:ascii="Times New Roman" w:hAnsi="Times New Roman"/>
          <w:color w:val="000000"/>
          <w:sz w:val="24"/>
          <w:lang w:val="bs-Latn-BA"/>
        </w:rPr>
        <w:t xml:space="preserve"> these two entities </w:t>
      </w:r>
      <w:r w:rsidR="006F2D76">
        <w:rPr>
          <w:rFonts w:ascii="Times New Roman" w:hAnsi="Times New Roman"/>
          <w:color w:val="000000"/>
          <w:sz w:val="24"/>
          <w:lang w:val="bs-Latn-BA"/>
        </w:rPr>
        <w:t xml:space="preserve">will </w:t>
      </w:r>
      <w:r w:rsidR="00226272">
        <w:rPr>
          <w:rFonts w:ascii="Times New Roman" w:hAnsi="Times New Roman"/>
          <w:color w:val="000000"/>
          <w:sz w:val="24"/>
          <w:lang w:val="bs-Latn-BA"/>
        </w:rPr>
        <w:t xml:space="preserve">together support the </w:t>
      </w:r>
      <w:r w:rsidR="00994078">
        <w:rPr>
          <w:rFonts w:ascii="Times New Roman" w:hAnsi="Times New Roman"/>
          <w:color w:val="000000"/>
          <w:sz w:val="24"/>
          <w:lang w:val="bs-Latn-BA"/>
        </w:rPr>
        <w:t>transfer</w:t>
      </w:r>
      <w:r w:rsidR="00226272">
        <w:rPr>
          <w:rFonts w:ascii="Times New Roman" w:hAnsi="Times New Roman"/>
          <w:color w:val="000000"/>
          <w:sz w:val="24"/>
          <w:lang w:val="bs-Latn-BA"/>
        </w:rPr>
        <w:t xml:space="preserve"> of</w:t>
      </w:r>
      <w:r w:rsidR="00226272" w:rsidRPr="0062182B">
        <w:rPr>
          <w:rFonts w:ascii="Times New Roman" w:hAnsi="Times New Roman"/>
          <w:color w:val="000000"/>
          <w:sz w:val="24"/>
          <w:lang w:val="bs-Latn-BA"/>
        </w:rPr>
        <w:t xml:space="preserve"> knowledge, skills and technical know-how</w:t>
      </w:r>
      <w:r w:rsidR="00994078">
        <w:rPr>
          <w:rFonts w:ascii="Times New Roman" w:hAnsi="Times New Roman"/>
          <w:color w:val="000000"/>
          <w:sz w:val="24"/>
          <w:lang w:val="bs-Latn-BA"/>
        </w:rPr>
        <w:t xml:space="preserve"> to Djibouti national stakeholders</w:t>
      </w:r>
      <w:r w:rsidR="00E177CA">
        <w:rPr>
          <w:rFonts w:ascii="Times New Roman" w:hAnsi="Times New Roman"/>
          <w:color w:val="000000"/>
          <w:sz w:val="24"/>
          <w:lang w:val="bs-Latn-BA"/>
        </w:rPr>
        <w:t xml:space="preserve"> on the Islamic finance models and legal structure to contribute to the development of the Islamic finance sector</w:t>
      </w:r>
      <w:r w:rsidR="00043B74">
        <w:rPr>
          <w:rFonts w:ascii="Times New Roman" w:hAnsi="Times New Roman"/>
          <w:color w:val="000000"/>
          <w:sz w:val="24"/>
          <w:lang w:val="bs-Latn-BA"/>
        </w:rPr>
        <w:t>,</w:t>
      </w:r>
      <w:r w:rsidR="00E177CA">
        <w:rPr>
          <w:rFonts w:ascii="Times New Roman" w:hAnsi="Times New Roman"/>
          <w:color w:val="000000"/>
          <w:sz w:val="24"/>
          <w:lang w:val="bs-Latn-BA"/>
        </w:rPr>
        <w:t xml:space="preserve"> as well as micro and SME financing operation models of participation banks</w:t>
      </w:r>
      <w:r w:rsidR="00226272">
        <w:rPr>
          <w:rFonts w:ascii="Times New Roman" w:hAnsi="Times New Roman"/>
          <w:color w:val="000000"/>
          <w:sz w:val="24"/>
          <w:lang w:val="bs-Latn-BA"/>
        </w:rPr>
        <w:t xml:space="preserve">. </w:t>
      </w:r>
      <w:r w:rsidR="00DE1F05">
        <w:rPr>
          <w:rFonts w:ascii="Times New Roman" w:hAnsi="Times New Roman"/>
          <w:color w:val="000000"/>
          <w:sz w:val="24"/>
          <w:lang w:val="bs-Latn-BA"/>
        </w:rPr>
        <w:t xml:space="preserve">In addition, </w:t>
      </w:r>
      <w:r w:rsidR="00DC5DF6">
        <w:rPr>
          <w:rFonts w:ascii="Times New Roman" w:hAnsi="Times New Roman"/>
          <w:color w:val="000000"/>
          <w:sz w:val="24"/>
          <w:lang w:val="bs-Latn-BA"/>
        </w:rPr>
        <w:t>other partnerships such as KOSGEB</w:t>
      </w:r>
      <w:r w:rsidR="00FD6C1C">
        <w:rPr>
          <w:rFonts w:ascii="Times New Roman" w:hAnsi="Times New Roman"/>
          <w:color w:val="000000"/>
          <w:sz w:val="24"/>
          <w:lang w:val="bs-Latn-BA"/>
        </w:rPr>
        <w:t xml:space="preserve"> (</w:t>
      </w:r>
      <w:r w:rsidR="00FD6C1C" w:rsidRPr="00FD6C1C">
        <w:rPr>
          <w:rFonts w:ascii="Times New Roman" w:hAnsi="Times New Roman"/>
          <w:color w:val="000000"/>
          <w:sz w:val="24"/>
          <w:lang w:val="bs-Latn-BA"/>
        </w:rPr>
        <w:t>Turkey’s Small and Medium Industry Development Organization</w:t>
      </w:r>
      <w:r w:rsidR="00FD6C1C">
        <w:rPr>
          <w:rFonts w:ascii="Times New Roman" w:hAnsi="Times New Roman"/>
          <w:color w:val="000000"/>
          <w:sz w:val="24"/>
          <w:lang w:val="bs-Latn-BA"/>
        </w:rPr>
        <w:t xml:space="preserve">) and the Credit Guarantee Fund of Turkey </w:t>
      </w:r>
      <w:r w:rsidR="00493F66">
        <w:rPr>
          <w:rFonts w:ascii="Times New Roman" w:hAnsi="Times New Roman"/>
          <w:color w:val="000000"/>
          <w:sz w:val="24"/>
          <w:lang w:val="bs-Latn-BA"/>
        </w:rPr>
        <w:t xml:space="preserve">(KGF) </w:t>
      </w:r>
      <w:r w:rsidR="006F2D76">
        <w:rPr>
          <w:rFonts w:ascii="Times New Roman" w:hAnsi="Times New Roman"/>
          <w:color w:val="000000"/>
          <w:sz w:val="24"/>
          <w:lang w:val="bs-Latn-BA"/>
        </w:rPr>
        <w:t xml:space="preserve">will </w:t>
      </w:r>
      <w:r w:rsidR="005D3595">
        <w:rPr>
          <w:rFonts w:ascii="Times New Roman" w:hAnsi="Times New Roman"/>
          <w:color w:val="000000"/>
          <w:sz w:val="24"/>
          <w:lang w:val="bs-Latn-BA"/>
        </w:rPr>
        <w:t xml:space="preserve">also be </w:t>
      </w:r>
      <w:r w:rsidR="006F2D76">
        <w:rPr>
          <w:rFonts w:ascii="Times New Roman" w:hAnsi="Times New Roman"/>
          <w:color w:val="000000"/>
          <w:sz w:val="24"/>
          <w:lang w:val="bs-Latn-BA"/>
        </w:rPr>
        <w:t xml:space="preserve">engaged </w:t>
      </w:r>
      <w:r w:rsidR="00625737">
        <w:rPr>
          <w:rFonts w:ascii="Times New Roman" w:hAnsi="Times New Roman"/>
          <w:color w:val="000000"/>
          <w:sz w:val="24"/>
          <w:lang w:val="bs-Latn-BA"/>
        </w:rPr>
        <w:t xml:space="preserve">in capacity development activities of the project. </w:t>
      </w:r>
    </w:p>
    <w:p w14:paraId="431A5632" w14:textId="1D6D4E1E" w:rsidR="00235CE3" w:rsidRPr="00CB12FA" w:rsidRDefault="00CB12FA" w:rsidP="00235CE3">
      <w:pPr>
        <w:spacing w:before="120" w:after="120"/>
        <w:rPr>
          <w:rFonts w:ascii="Times New Roman" w:hAnsi="Times New Roman" w:cs="Times New Roman"/>
          <w:b/>
          <w:bCs/>
          <w:iCs/>
          <w:sz w:val="24"/>
        </w:rPr>
      </w:pPr>
      <w:r>
        <w:rPr>
          <w:rFonts w:ascii="Times New Roman" w:hAnsi="Times New Roman"/>
          <w:b/>
          <w:bCs/>
          <w:noProof/>
          <w:color w:val="1F3864"/>
          <w:sz w:val="24"/>
          <w:lang w:val="bs-Latn-BA" w:eastAsia="bs-Latn-BA"/>
        </w:rPr>
        <mc:AlternateContent>
          <mc:Choice Requires="wps">
            <w:drawing>
              <wp:anchor distT="0" distB="0" distL="114300" distR="114300" simplePos="0" relativeHeight="251662848" behindDoc="0" locked="0" layoutInCell="1" allowOverlap="1" wp14:anchorId="717A3736" wp14:editId="78A50747">
                <wp:simplePos x="0" y="0"/>
                <wp:positionH relativeFrom="column">
                  <wp:posOffset>-14605</wp:posOffset>
                </wp:positionH>
                <wp:positionV relativeFrom="paragraph">
                  <wp:posOffset>197485</wp:posOffset>
                </wp:positionV>
                <wp:extent cx="5800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25022ED"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15pt,15.55pt" to="455.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5BzwEAAAMEAAAOAAAAZHJzL2Uyb0RvYy54bWysU02P0zAQvSPxHyzfadJKW1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" strokecolor="black [3213]"/>
            </w:pict>
          </mc:Fallback>
        </mc:AlternateContent>
      </w:r>
      <w:r w:rsidR="00235CE3" w:rsidRPr="00CB12FA">
        <w:rPr>
          <w:rFonts w:ascii="Times New Roman" w:hAnsi="Times New Roman" w:cs="Times New Roman"/>
          <w:b/>
          <w:bCs/>
          <w:iCs/>
          <w:sz w:val="24"/>
        </w:rPr>
        <w:t xml:space="preserve">Objectives </w:t>
      </w:r>
      <w:r w:rsidR="005749DA">
        <w:rPr>
          <w:rFonts w:ascii="Times New Roman" w:hAnsi="Times New Roman" w:cs="Times New Roman"/>
          <w:b/>
          <w:bCs/>
          <w:iCs/>
          <w:sz w:val="24"/>
        </w:rPr>
        <w:t>and Scope of Work</w:t>
      </w:r>
    </w:p>
    <w:p w14:paraId="02EB378F" w14:textId="77777777" w:rsidR="00994078" w:rsidRDefault="00994078" w:rsidP="00CB12FA">
      <w:pPr>
        <w:spacing w:after="0"/>
        <w:jc w:val="both"/>
        <w:rPr>
          <w:rFonts w:ascii="Times New Roman" w:hAnsi="Times New Roman" w:cs="Times New Roman"/>
          <w:sz w:val="24"/>
          <w:szCs w:val="24"/>
          <w:lang w:val="en-GB"/>
        </w:rPr>
      </w:pPr>
    </w:p>
    <w:p w14:paraId="3F1840FE" w14:textId="4CA59369" w:rsidR="00226272" w:rsidRPr="00213386" w:rsidRDefault="00757671" w:rsidP="00CB12FA">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overall objective is to </w:t>
      </w:r>
      <w:r w:rsidR="00704DE5">
        <w:rPr>
          <w:rFonts w:ascii="Times New Roman" w:hAnsi="Times New Roman" w:cs="Times New Roman"/>
          <w:sz w:val="24"/>
          <w:szCs w:val="24"/>
          <w:lang w:val="en-GB"/>
        </w:rPr>
        <w:t xml:space="preserve">support the </w:t>
      </w:r>
      <w:r w:rsidR="003D2ADE">
        <w:rPr>
          <w:rFonts w:ascii="Times New Roman" w:hAnsi="Times New Roman" w:cs="Times New Roman"/>
          <w:sz w:val="24"/>
          <w:szCs w:val="24"/>
          <w:lang w:val="en-GB"/>
        </w:rPr>
        <w:t>develop</w:t>
      </w:r>
      <w:r w:rsidR="00704DE5">
        <w:rPr>
          <w:rFonts w:ascii="Times New Roman" w:hAnsi="Times New Roman" w:cs="Times New Roman"/>
          <w:sz w:val="24"/>
          <w:szCs w:val="24"/>
          <w:lang w:val="en-GB"/>
        </w:rPr>
        <w:t>ment of</w:t>
      </w:r>
      <w:r w:rsidR="003D2ADE">
        <w:rPr>
          <w:rFonts w:ascii="Times New Roman" w:hAnsi="Times New Roman" w:cs="Times New Roman"/>
          <w:sz w:val="24"/>
          <w:szCs w:val="24"/>
          <w:lang w:val="en-GB"/>
        </w:rPr>
        <w:t xml:space="preserve"> the Islamic </w:t>
      </w:r>
      <w:r w:rsidR="00421D48">
        <w:rPr>
          <w:rFonts w:ascii="Times New Roman" w:hAnsi="Times New Roman" w:cs="Times New Roman"/>
          <w:sz w:val="24"/>
          <w:szCs w:val="24"/>
          <w:lang w:val="en-GB"/>
        </w:rPr>
        <w:t xml:space="preserve">finance and </w:t>
      </w:r>
      <w:r w:rsidR="003D2ADE">
        <w:rPr>
          <w:rFonts w:ascii="Times New Roman" w:hAnsi="Times New Roman" w:cs="Times New Roman"/>
          <w:sz w:val="24"/>
          <w:szCs w:val="24"/>
          <w:lang w:val="en-GB"/>
        </w:rPr>
        <w:t xml:space="preserve">microfinance ecosystem in Djibouti </w:t>
      </w:r>
      <w:r w:rsidR="00C61BE7">
        <w:rPr>
          <w:rFonts w:ascii="Times New Roman" w:hAnsi="Times New Roman" w:cs="Times New Roman"/>
          <w:sz w:val="24"/>
          <w:szCs w:val="24"/>
          <w:lang w:val="en-GB"/>
        </w:rPr>
        <w:t xml:space="preserve">through a holistic approach including </w:t>
      </w:r>
      <w:r w:rsidR="006D301B">
        <w:rPr>
          <w:rFonts w:ascii="Times New Roman" w:hAnsi="Times New Roman" w:cs="Times New Roman"/>
          <w:sz w:val="24"/>
          <w:szCs w:val="24"/>
          <w:lang w:val="en-GB"/>
        </w:rPr>
        <w:t xml:space="preserve">skills improvement and capacity building. </w:t>
      </w:r>
      <w:r w:rsidR="00AE4B38">
        <w:rPr>
          <w:rFonts w:ascii="Times New Roman" w:hAnsi="Times New Roman" w:cs="Times New Roman"/>
          <w:sz w:val="24"/>
          <w:szCs w:val="24"/>
          <w:lang w:val="en-GB"/>
        </w:rPr>
        <w:t>The scope of work consists of two phases</w:t>
      </w:r>
      <w:r w:rsidR="00A85802">
        <w:rPr>
          <w:rFonts w:ascii="Times New Roman" w:hAnsi="Times New Roman" w:cs="Times New Roman"/>
          <w:sz w:val="24"/>
          <w:szCs w:val="24"/>
          <w:lang w:val="en-GB"/>
        </w:rPr>
        <w:t xml:space="preserve">; </w:t>
      </w:r>
      <w:r w:rsidR="00A53EC3">
        <w:rPr>
          <w:rFonts w:ascii="Times New Roman" w:hAnsi="Times New Roman" w:cs="Times New Roman"/>
          <w:sz w:val="24"/>
          <w:szCs w:val="24"/>
          <w:lang w:val="en-GB"/>
        </w:rPr>
        <w:t xml:space="preserve">in </w:t>
      </w:r>
      <w:r w:rsidR="00A85802">
        <w:rPr>
          <w:rFonts w:ascii="Times New Roman" w:hAnsi="Times New Roman" w:cs="Times New Roman"/>
          <w:sz w:val="24"/>
          <w:szCs w:val="24"/>
          <w:lang w:val="en-GB"/>
        </w:rPr>
        <w:t>the first phase</w:t>
      </w:r>
      <w:r w:rsidR="003C5A2E">
        <w:rPr>
          <w:rFonts w:ascii="Times New Roman" w:hAnsi="Times New Roman" w:cs="Times New Roman"/>
          <w:sz w:val="24"/>
          <w:szCs w:val="24"/>
          <w:lang w:val="en-GB"/>
        </w:rPr>
        <w:t>,</w:t>
      </w:r>
      <w:r w:rsidR="00A53EC3">
        <w:rPr>
          <w:rFonts w:ascii="Times New Roman" w:hAnsi="Times New Roman" w:cs="Times New Roman"/>
          <w:sz w:val="24"/>
          <w:szCs w:val="24"/>
          <w:lang w:val="en-GB"/>
        </w:rPr>
        <w:t xml:space="preserve"> the</w:t>
      </w:r>
      <w:r w:rsidR="00A85802">
        <w:rPr>
          <w:rFonts w:ascii="Times New Roman" w:hAnsi="Times New Roman" w:cs="Times New Roman"/>
          <w:sz w:val="24"/>
          <w:szCs w:val="24"/>
          <w:lang w:val="en-GB"/>
        </w:rPr>
        <w:t xml:space="preserve"> </w:t>
      </w:r>
      <w:r w:rsidR="006D301B">
        <w:rPr>
          <w:rFonts w:ascii="Times New Roman" w:hAnsi="Times New Roman" w:cs="Times New Roman"/>
          <w:sz w:val="24"/>
          <w:szCs w:val="24"/>
          <w:lang w:val="en-GB"/>
        </w:rPr>
        <w:t>IIC</w:t>
      </w:r>
      <w:r w:rsidR="00213386">
        <w:rPr>
          <w:rFonts w:ascii="Times New Roman" w:hAnsi="Times New Roman" w:cs="Times New Roman"/>
          <w:sz w:val="24"/>
          <w:szCs w:val="24"/>
          <w:lang w:val="en-GB"/>
        </w:rPr>
        <w:t xml:space="preserve">PSD offers to perform an </w:t>
      </w:r>
      <w:r w:rsidR="00704DE5">
        <w:rPr>
          <w:rFonts w:ascii="Times New Roman" w:hAnsi="Times New Roman" w:cs="Times New Roman"/>
          <w:sz w:val="24"/>
          <w:szCs w:val="24"/>
          <w:lang w:val="en-GB"/>
        </w:rPr>
        <w:t>assessment of the sector</w:t>
      </w:r>
      <w:r w:rsidR="00E409C9">
        <w:rPr>
          <w:rFonts w:ascii="Times New Roman" w:hAnsi="Times New Roman" w:cs="Times New Roman"/>
          <w:sz w:val="24"/>
          <w:szCs w:val="24"/>
          <w:lang w:val="en-GB"/>
        </w:rPr>
        <w:t>, followed by</w:t>
      </w:r>
      <w:r w:rsidR="005A2B1E" w:rsidRPr="008E3BA6">
        <w:rPr>
          <w:rFonts w:ascii="Times New Roman" w:hAnsi="Times New Roman" w:cs="Times New Roman"/>
          <w:sz w:val="24"/>
          <w:szCs w:val="24"/>
          <w:lang w:val="en-GB"/>
        </w:rPr>
        <w:t xml:space="preserve"> </w:t>
      </w:r>
      <w:r w:rsidR="00CE268B">
        <w:rPr>
          <w:rFonts w:ascii="Times New Roman" w:hAnsi="Times New Roman" w:cs="Times New Roman"/>
          <w:sz w:val="24"/>
          <w:szCs w:val="24"/>
          <w:lang w:val="en-GB"/>
        </w:rPr>
        <w:t>develop</w:t>
      </w:r>
      <w:r w:rsidR="00012127">
        <w:rPr>
          <w:rFonts w:ascii="Times New Roman" w:hAnsi="Times New Roman" w:cs="Times New Roman"/>
          <w:sz w:val="24"/>
          <w:szCs w:val="24"/>
          <w:lang w:val="en-GB"/>
        </w:rPr>
        <w:t>ing</w:t>
      </w:r>
      <w:r w:rsidR="00CE268B">
        <w:rPr>
          <w:rFonts w:ascii="Times New Roman" w:hAnsi="Times New Roman" w:cs="Times New Roman"/>
          <w:sz w:val="24"/>
          <w:szCs w:val="24"/>
          <w:lang w:val="en-GB"/>
        </w:rPr>
        <w:t xml:space="preserve"> the strategy and </w:t>
      </w:r>
      <w:r w:rsidR="0008570C">
        <w:rPr>
          <w:rFonts w:ascii="Times New Roman" w:hAnsi="Times New Roman" w:cs="Times New Roman"/>
          <w:sz w:val="24"/>
          <w:szCs w:val="24"/>
          <w:lang w:val="en-GB"/>
        </w:rPr>
        <w:t>design</w:t>
      </w:r>
      <w:r w:rsidR="00012127">
        <w:rPr>
          <w:rFonts w:ascii="Times New Roman" w:hAnsi="Times New Roman" w:cs="Times New Roman"/>
          <w:sz w:val="24"/>
          <w:szCs w:val="24"/>
          <w:lang w:val="en-GB"/>
        </w:rPr>
        <w:t>ing</w:t>
      </w:r>
      <w:r w:rsidR="0008570C">
        <w:rPr>
          <w:rFonts w:ascii="Times New Roman" w:hAnsi="Times New Roman" w:cs="Times New Roman"/>
          <w:sz w:val="24"/>
          <w:szCs w:val="24"/>
          <w:lang w:val="en-GB"/>
        </w:rPr>
        <w:t xml:space="preserve"> a product </w:t>
      </w:r>
      <w:r w:rsidR="00CE268B">
        <w:rPr>
          <w:rFonts w:ascii="Times New Roman" w:hAnsi="Times New Roman" w:cs="Times New Roman"/>
          <w:sz w:val="24"/>
          <w:szCs w:val="24"/>
          <w:lang w:val="en-GB"/>
        </w:rPr>
        <w:t xml:space="preserve">for </w:t>
      </w:r>
      <w:r w:rsidR="00131044">
        <w:rPr>
          <w:rFonts w:ascii="Times New Roman" w:hAnsi="Times New Roman" w:cs="Times New Roman"/>
          <w:sz w:val="24"/>
          <w:szCs w:val="24"/>
          <w:lang w:val="en-GB"/>
        </w:rPr>
        <w:t>an I</w:t>
      </w:r>
      <w:r w:rsidR="006322EC">
        <w:rPr>
          <w:rFonts w:ascii="Times New Roman" w:hAnsi="Times New Roman" w:cs="Times New Roman"/>
          <w:sz w:val="24"/>
          <w:szCs w:val="24"/>
          <w:lang w:val="en-GB"/>
        </w:rPr>
        <w:t xml:space="preserve">slamic microfinance program in the country. </w:t>
      </w:r>
      <w:r w:rsidR="00C77F8F">
        <w:rPr>
          <w:rFonts w:ascii="Times New Roman" w:hAnsi="Times New Roman" w:cs="Times New Roman"/>
          <w:sz w:val="24"/>
          <w:szCs w:val="24"/>
          <w:lang w:val="en-GB"/>
        </w:rPr>
        <w:t xml:space="preserve">The second phase </w:t>
      </w:r>
      <w:r w:rsidR="006C589B">
        <w:rPr>
          <w:rFonts w:ascii="Times New Roman" w:hAnsi="Times New Roman" w:cs="Times New Roman"/>
          <w:sz w:val="24"/>
          <w:szCs w:val="24"/>
          <w:lang w:val="en-GB"/>
        </w:rPr>
        <w:t xml:space="preserve">includes </w:t>
      </w:r>
      <w:r w:rsidR="00C77F8F">
        <w:rPr>
          <w:rFonts w:ascii="Times New Roman" w:hAnsi="Times New Roman" w:cs="Times New Roman"/>
          <w:sz w:val="24"/>
          <w:szCs w:val="24"/>
          <w:lang w:val="en-GB"/>
        </w:rPr>
        <w:t>capacity devel</w:t>
      </w:r>
      <w:r w:rsidR="00F33A66">
        <w:rPr>
          <w:rFonts w:ascii="Times New Roman" w:hAnsi="Times New Roman" w:cs="Times New Roman"/>
          <w:sz w:val="24"/>
          <w:szCs w:val="24"/>
          <w:lang w:val="en-GB"/>
        </w:rPr>
        <w:t xml:space="preserve">opment </w:t>
      </w:r>
      <w:r w:rsidR="006C589B">
        <w:rPr>
          <w:rFonts w:ascii="Times New Roman" w:hAnsi="Times New Roman" w:cs="Times New Roman"/>
          <w:sz w:val="24"/>
          <w:szCs w:val="24"/>
          <w:lang w:val="en-GB"/>
        </w:rPr>
        <w:t>activities</w:t>
      </w:r>
      <w:r w:rsidR="00220009">
        <w:rPr>
          <w:rFonts w:ascii="Times New Roman" w:hAnsi="Times New Roman" w:cs="Times New Roman"/>
          <w:sz w:val="24"/>
          <w:szCs w:val="24"/>
          <w:lang w:val="en-GB"/>
        </w:rPr>
        <w:t>, including</w:t>
      </w:r>
      <w:r w:rsidR="005A2B1E" w:rsidRPr="008E3BA6">
        <w:rPr>
          <w:rFonts w:ascii="Times New Roman" w:hAnsi="Times New Roman" w:cs="Times New Roman"/>
          <w:sz w:val="24"/>
          <w:szCs w:val="24"/>
        </w:rPr>
        <w:t xml:space="preserve"> </w:t>
      </w:r>
      <w:r w:rsidR="0008570C" w:rsidRPr="0008570C">
        <w:rPr>
          <w:rFonts w:ascii="Times New Roman" w:hAnsi="Times New Roman" w:cs="Times New Roman"/>
          <w:sz w:val="24"/>
          <w:szCs w:val="24"/>
        </w:rPr>
        <w:t xml:space="preserve">both virtual and on the-job </w:t>
      </w:r>
      <w:r w:rsidR="005A2B1E" w:rsidRPr="008E3BA6">
        <w:rPr>
          <w:rFonts w:ascii="Times New Roman" w:hAnsi="Times New Roman" w:cs="Times New Roman"/>
          <w:sz w:val="24"/>
          <w:szCs w:val="24"/>
        </w:rPr>
        <w:t>training</w:t>
      </w:r>
      <w:r>
        <w:rPr>
          <w:rFonts w:ascii="Times New Roman" w:hAnsi="Times New Roman" w:cs="Times New Roman"/>
          <w:sz w:val="24"/>
          <w:szCs w:val="24"/>
        </w:rPr>
        <w:t>s</w:t>
      </w:r>
      <w:r w:rsidR="005A2B1E" w:rsidRPr="008E3BA6">
        <w:rPr>
          <w:rFonts w:ascii="Times New Roman" w:hAnsi="Times New Roman" w:cs="Times New Roman"/>
          <w:sz w:val="24"/>
          <w:szCs w:val="24"/>
        </w:rPr>
        <w:t xml:space="preserve"> </w:t>
      </w:r>
      <w:r>
        <w:rPr>
          <w:rFonts w:ascii="Times New Roman" w:hAnsi="Times New Roman" w:cs="Times New Roman"/>
          <w:sz w:val="24"/>
          <w:szCs w:val="24"/>
        </w:rPr>
        <w:t>for the national stakeholders in Djibouti</w:t>
      </w:r>
      <w:r w:rsidR="0008570C">
        <w:rPr>
          <w:rFonts w:ascii="Times New Roman" w:hAnsi="Times New Roman" w:cs="Times New Roman"/>
          <w:sz w:val="24"/>
          <w:szCs w:val="24"/>
        </w:rPr>
        <w:t xml:space="preserve"> to scale up the model and improve the efficiency of the system</w:t>
      </w:r>
      <w:r>
        <w:rPr>
          <w:rFonts w:ascii="Times New Roman" w:hAnsi="Times New Roman" w:cs="Times New Roman"/>
          <w:sz w:val="24"/>
          <w:szCs w:val="24"/>
        </w:rPr>
        <w:t xml:space="preserve">. These activities are discussed in more detail in the table below. </w:t>
      </w:r>
    </w:p>
    <w:p w14:paraId="6A05A809" w14:textId="045D4266" w:rsidR="0004790D" w:rsidRDefault="0004790D" w:rsidP="00455AC9">
      <w:pPr>
        <w:spacing w:after="0" w:line="240" w:lineRule="auto"/>
        <w:jc w:val="both"/>
        <w:rPr>
          <w:rFonts w:ascii="Times New Roman" w:hAnsi="Times New Roman"/>
          <w:color w:val="000000"/>
          <w:sz w:val="24"/>
        </w:rPr>
      </w:pPr>
    </w:p>
    <w:tbl>
      <w:tblPr>
        <w:tblStyle w:val="TableGrid"/>
        <w:tblW w:w="9776" w:type="dxa"/>
        <w:tblLayout w:type="fixed"/>
        <w:tblLook w:val="04A0" w:firstRow="1" w:lastRow="0" w:firstColumn="1" w:lastColumn="0" w:noHBand="0" w:noVBand="1"/>
      </w:tblPr>
      <w:tblGrid>
        <w:gridCol w:w="2122"/>
        <w:gridCol w:w="5811"/>
        <w:gridCol w:w="1843"/>
      </w:tblGrid>
      <w:tr w:rsidR="008475CB" w:rsidRPr="006312FA" w14:paraId="29BACE93" w14:textId="272E1873" w:rsidTr="00E409C9">
        <w:trPr>
          <w:trHeight w:val="477"/>
        </w:trPr>
        <w:tc>
          <w:tcPr>
            <w:tcW w:w="2122" w:type="dxa"/>
            <w:vAlign w:val="center"/>
          </w:tcPr>
          <w:p w14:paraId="42B1A2E3" w14:textId="77777777" w:rsidR="008475CB" w:rsidRPr="006312FA" w:rsidRDefault="008475CB" w:rsidP="00012127">
            <w:pPr>
              <w:jc w:val="center"/>
              <w:rPr>
                <w:rFonts w:ascii="Times New Roman" w:hAnsi="Times New Roman" w:cs="Times New Roman"/>
                <w:b/>
              </w:rPr>
            </w:pPr>
            <w:r w:rsidRPr="006312FA">
              <w:rPr>
                <w:rFonts w:ascii="Times New Roman" w:hAnsi="Times New Roman" w:cs="Times New Roman"/>
                <w:b/>
              </w:rPr>
              <w:t>Deliverables</w:t>
            </w:r>
          </w:p>
        </w:tc>
        <w:tc>
          <w:tcPr>
            <w:tcW w:w="5811" w:type="dxa"/>
            <w:vAlign w:val="center"/>
          </w:tcPr>
          <w:p w14:paraId="7662FABA" w14:textId="07151244" w:rsidR="008475CB" w:rsidRPr="006312FA" w:rsidRDefault="008475CB" w:rsidP="00012127">
            <w:pPr>
              <w:jc w:val="center"/>
              <w:rPr>
                <w:rFonts w:ascii="Times New Roman" w:hAnsi="Times New Roman" w:cs="Times New Roman"/>
                <w:b/>
              </w:rPr>
            </w:pPr>
            <w:r w:rsidRPr="006312FA">
              <w:rPr>
                <w:rFonts w:ascii="Times New Roman" w:hAnsi="Times New Roman" w:cs="Times New Roman"/>
                <w:b/>
              </w:rPr>
              <w:t>Scope of Work and Activities</w:t>
            </w:r>
          </w:p>
        </w:tc>
        <w:tc>
          <w:tcPr>
            <w:tcW w:w="1843" w:type="dxa"/>
            <w:vAlign w:val="center"/>
          </w:tcPr>
          <w:p w14:paraId="2E6CB784" w14:textId="265CC54C" w:rsidR="008475CB" w:rsidRPr="006312FA" w:rsidRDefault="008475CB" w:rsidP="00012127">
            <w:pPr>
              <w:jc w:val="center"/>
              <w:rPr>
                <w:rFonts w:ascii="Times New Roman" w:hAnsi="Times New Roman" w:cs="Times New Roman"/>
                <w:b/>
              </w:rPr>
            </w:pPr>
            <w:r>
              <w:rPr>
                <w:rFonts w:ascii="Times New Roman" w:hAnsi="Times New Roman" w:cs="Times New Roman"/>
                <w:b/>
              </w:rPr>
              <w:t>Budget (USD)</w:t>
            </w:r>
          </w:p>
        </w:tc>
      </w:tr>
      <w:tr w:rsidR="0028546A" w:rsidRPr="006312FA" w14:paraId="52493328" w14:textId="77777777" w:rsidTr="00E409C9">
        <w:trPr>
          <w:trHeight w:val="400"/>
        </w:trPr>
        <w:tc>
          <w:tcPr>
            <w:tcW w:w="9776" w:type="dxa"/>
            <w:gridSpan w:val="3"/>
            <w:shd w:val="clear" w:color="auto" w:fill="D9D9D9" w:themeFill="background1" w:themeFillShade="D9"/>
            <w:vAlign w:val="center"/>
          </w:tcPr>
          <w:p w14:paraId="34B6578B" w14:textId="0DA4BC9F" w:rsidR="0028546A" w:rsidRDefault="0028546A" w:rsidP="0028546A">
            <w:pPr>
              <w:jc w:val="center"/>
              <w:rPr>
                <w:rFonts w:ascii="Times New Roman" w:hAnsi="Times New Roman" w:cs="Times New Roman"/>
                <w:b/>
              </w:rPr>
            </w:pPr>
            <w:r>
              <w:rPr>
                <w:rFonts w:ascii="Times New Roman" w:hAnsi="Times New Roman" w:cs="Times New Roman"/>
                <w:b/>
              </w:rPr>
              <w:t>Phase I</w:t>
            </w:r>
          </w:p>
        </w:tc>
      </w:tr>
      <w:tr w:rsidR="00A442B0" w:rsidRPr="006312FA" w14:paraId="5E1070CF" w14:textId="1BC8FE39" w:rsidTr="00D72033">
        <w:trPr>
          <w:trHeight w:val="3970"/>
        </w:trPr>
        <w:tc>
          <w:tcPr>
            <w:tcW w:w="2122" w:type="dxa"/>
            <w:shd w:val="clear" w:color="auto" w:fill="D9D9D9" w:themeFill="background1" w:themeFillShade="D9"/>
            <w:vAlign w:val="center"/>
          </w:tcPr>
          <w:p w14:paraId="5A39BBE3" w14:textId="77777777" w:rsidR="00A442B0" w:rsidRPr="006312FA" w:rsidRDefault="00A442B0" w:rsidP="004E56F1">
            <w:pPr>
              <w:rPr>
                <w:rFonts w:ascii="Times New Roman" w:hAnsi="Times New Roman" w:cs="Times New Roman"/>
              </w:rPr>
            </w:pPr>
          </w:p>
          <w:p w14:paraId="505DA132" w14:textId="618256CB" w:rsidR="00A442B0" w:rsidRPr="006312FA" w:rsidRDefault="00A442B0" w:rsidP="004E56F1">
            <w:pPr>
              <w:rPr>
                <w:rFonts w:ascii="Times New Roman" w:hAnsi="Times New Roman" w:cs="Times New Roman"/>
                <w:b/>
              </w:rPr>
            </w:pPr>
            <w:r w:rsidRPr="006312FA">
              <w:rPr>
                <w:rFonts w:ascii="Times New Roman" w:hAnsi="Times New Roman" w:cs="Times New Roman"/>
                <w:b/>
              </w:rPr>
              <w:t xml:space="preserve">Assessment </w:t>
            </w:r>
            <w:r>
              <w:rPr>
                <w:rFonts w:ascii="Times New Roman" w:hAnsi="Times New Roman" w:cs="Times New Roman"/>
                <w:b/>
              </w:rPr>
              <w:t>Study on Islamic Microfinance in Djibouti</w:t>
            </w:r>
          </w:p>
        </w:tc>
        <w:tc>
          <w:tcPr>
            <w:tcW w:w="5811" w:type="dxa"/>
          </w:tcPr>
          <w:p w14:paraId="41C8F396" w14:textId="77777777" w:rsidR="00A442B0" w:rsidRPr="006312FA" w:rsidRDefault="00A442B0" w:rsidP="00DC39C6">
            <w:pPr>
              <w:jc w:val="both"/>
              <w:rPr>
                <w:rFonts w:ascii="Times New Roman" w:hAnsi="Times New Roman" w:cs="Times New Roman"/>
              </w:rPr>
            </w:pPr>
          </w:p>
          <w:p w14:paraId="11605BD3" w14:textId="28B8D71F" w:rsidR="00A442B0" w:rsidRDefault="00A442B0" w:rsidP="00A77B81">
            <w:pPr>
              <w:rPr>
                <w:rFonts w:ascii="Times New Roman" w:hAnsi="Times New Roman" w:cs="Times New Roman"/>
              </w:rPr>
            </w:pPr>
            <w:r w:rsidRPr="4B5827C5">
              <w:rPr>
                <w:rFonts w:ascii="Times New Roman" w:hAnsi="Times New Roman" w:cs="Times New Roman"/>
              </w:rPr>
              <w:t>The IICPSD offers to conduct a preliminary assessment study of the microfinance ecosystem in Djibouti to</w:t>
            </w:r>
            <w:r>
              <w:rPr>
                <w:rFonts w:ascii="Times New Roman" w:hAnsi="Times New Roman" w:cs="Times New Roman"/>
              </w:rPr>
              <w:t xml:space="preserve"> foster an ecosystem in which all segments of the population can participate and religious considerations are not a barrier to participation. </w:t>
            </w:r>
          </w:p>
          <w:p w14:paraId="19760C4A" w14:textId="60C222E9" w:rsidR="00A442B0" w:rsidRDefault="00A442B0" w:rsidP="00A77B81">
            <w:pPr>
              <w:rPr>
                <w:rFonts w:ascii="Times New Roman" w:hAnsi="Times New Roman" w:cs="Times New Roman"/>
              </w:rPr>
            </w:pPr>
          </w:p>
          <w:p w14:paraId="12C22F0C" w14:textId="4B444A22" w:rsidR="00A442B0" w:rsidRPr="006312FA" w:rsidRDefault="00A442B0" w:rsidP="00A77B81">
            <w:pPr>
              <w:rPr>
                <w:rFonts w:ascii="Times New Roman" w:hAnsi="Times New Roman" w:cs="Times New Roman"/>
              </w:rPr>
            </w:pPr>
            <w:r>
              <w:rPr>
                <w:rFonts w:ascii="Times New Roman" w:hAnsi="Times New Roman" w:cs="Times New Roman"/>
              </w:rPr>
              <w:t>The objectives of the study will be to:</w:t>
            </w:r>
          </w:p>
          <w:p w14:paraId="72A3D3EC" w14:textId="77777777" w:rsidR="00A442B0" w:rsidRPr="006312FA" w:rsidRDefault="00A442B0" w:rsidP="00226272">
            <w:pPr>
              <w:rPr>
                <w:rFonts w:ascii="Times New Roman" w:hAnsi="Times New Roman" w:cs="Times New Roman"/>
              </w:rPr>
            </w:pPr>
          </w:p>
          <w:p w14:paraId="5661C982" w14:textId="77777777" w:rsidR="00A442B0" w:rsidRPr="006312FA" w:rsidRDefault="00A442B0" w:rsidP="00226272">
            <w:pPr>
              <w:numPr>
                <w:ilvl w:val="0"/>
                <w:numId w:val="6"/>
              </w:numPr>
              <w:rPr>
                <w:rFonts w:ascii="Times New Roman" w:hAnsi="Times New Roman" w:cs="Times New Roman"/>
              </w:rPr>
            </w:pPr>
            <w:r w:rsidRPr="006312FA">
              <w:rPr>
                <w:rFonts w:ascii="Times New Roman" w:hAnsi="Times New Roman" w:cs="Times New Roman"/>
              </w:rPr>
              <w:t>Identify the relevant stakeholders from public and private sector and their relevant strategies, including both conventional and Islamic Finance institutions;</w:t>
            </w:r>
          </w:p>
          <w:p w14:paraId="030D493A" w14:textId="77777777" w:rsidR="00A442B0" w:rsidRPr="006312FA" w:rsidRDefault="00A442B0" w:rsidP="00226272">
            <w:pPr>
              <w:numPr>
                <w:ilvl w:val="0"/>
                <w:numId w:val="6"/>
              </w:numPr>
              <w:rPr>
                <w:rFonts w:ascii="Times New Roman" w:hAnsi="Times New Roman" w:cs="Times New Roman"/>
              </w:rPr>
            </w:pPr>
            <w:r w:rsidRPr="006312FA">
              <w:rPr>
                <w:rFonts w:ascii="Times New Roman" w:hAnsi="Times New Roman" w:cs="Times New Roman"/>
              </w:rPr>
              <w:lastRenderedPageBreak/>
              <w:t>I</w:t>
            </w:r>
            <w:proofErr w:type="spellStart"/>
            <w:r w:rsidRPr="006312FA">
              <w:rPr>
                <w:rFonts w:ascii="Times New Roman" w:hAnsi="Times New Roman" w:cs="Times New Roman"/>
                <w:lang w:val="en-GB"/>
              </w:rPr>
              <w:t>dentify</w:t>
            </w:r>
            <w:proofErr w:type="spellEnd"/>
            <w:r w:rsidRPr="006312FA">
              <w:rPr>
                <w:rFonts w:ascii="Times New Roman" w:hAnsi="Times New Roman" w:cs="Times New Roman"/>
                <w:lang w:val="en-GB"/>
              </w:rPr>
              <w:t xml:space="preserve"> policy recommendations and advocate for </w:t>
            </w:r>
            <w:r w:rsidRPr="006312FA">
              <w:rPr>
                <w:rFonts w:ascii="Times New Roman" w:hAnsi="Times New Roman" w:cs="Times New Roman"/>
              </w:rPr>
              <w:t>incentive models, guarantees, special tax schemes to grow the Islamic finance sector;</w:t>
            </w:r>
          </w:p>
          <w:p w14:paraId="7DEF7C8C" w14:textId="77777777" w:rsidR="00A442B0" w:rsidRPr="006312FA" w:rsidRDefault="00A442B0" w:rsidP="00226272">
            <w:pPr>
              <w:numPr>
                <w:ilvl w:val="0"/>
                <w:numId w:val="6"/>
              </w:numPr>
              <w:rPr>
                <w:rFonts w:ascii="Times New Roman" w:hAnsi="Times New Roman" w:cs="Times New Roman"/>
              </w:rPr>
            </w:pPr>
            <w:r w:rsidRPr="006312FA">
              <w:rPr>
                <w:rFonts w:ascii="Times New Roman" w:hAnsi="Times New Roman" w:cs="Times New Roman"/>
              </w:rPr>
              <w:t>Analyze the potential investors/donors and target groups for microfinance;</w:t>
            </w:r>
          </w:p>
          <w:p w14:paraId="24569997" w14:textId="2B9CE3B5" w:rsidR="00A442B0" w:rsidRPr="006312FA" w:rsidRDefault="00A442B0" w:rsidP="00226272">
            <w:pPr>
              <w:numPr>
                <w:ilvl w:val="0"/>
                <w:numId w:val="6"/>
              </w:numPr>
              <w:rPr>
                <w:rFonts w:ascii="Times New Roman" w:hAnsi="Times New Roman" w:cs="Times New Roman"/>
              </w:rPr>
            </w:pPr>
            <w:r w:rsidRPr="006312FA">
              <w:rPr>
                <w:rFonts w:ascii="Times New Roman" w:hAnsi="Times New Roman" w:cs="Times New Roman"/>
                <w:lang w:val="en-GB"/>
              </w:rPr>
              <w:t xml:space="preserve">Detect specific Islamic </w:t>
            </w:r>
            <w:r w:rsidR="008D0DDF">
              <w:rPr>
                <w:rFonts w:ascii="Times New Roman" w:hAnsi="Times New Roman" w:cs="Times New Roman"/>
                <w:lang w:val="en-GB"/>
              </w:rPr>
              <w:t>m</w:t>
            </w:r>
            <w:r w:rsidRPr="006312FA">
              <w:rPr>
                <w:rFonts w:ascii="Times New Roman" w:hAnsi="Times New Roman" w:cs="Times New Roman"/>
                <w:lang w:val="en-GB"/>
              </w:rPr>
              <w:t xml:space="preserve">icrofinance lending products through demand supply analysis consultation with banks, institutes and potential borrowers; </w:t>
            </w:r>
          </w:p>
          <w:p w14:paraId="76122E1D" w14:textId="77777777" w:rsidR="00A442B0" w:rsidRPr="006312FA" w:rsidRDefault="00A442B0" w:rsidP="00226272">
            <w:pPr>
              <w:numPr>
                <w:ilvl w:val="0"/>
                <w:numId w:val="6"/>
              </w:numPr>
              <w:rPr>
                <w:rFonts w:ascii="Times New Roman" w:hAnsi="Times New Roman" w:cs="Times New Roman"/>
              </w:rPr>
            </w:pPr>
            <w:r w:rsidRPr="006312FA">
              <w:rPr>
                <w:rFonts w:ascii="Times New Roman" w:hAnsi="Times New Roman" w:cs="Times New Roman"/>
              </w:rPr>
              <w:t>Identify opportunities and challenges for the development of the sector;</w:t>
            </w:r>
          </w:p>
          <w:p w14:paraId="30BB2E29" w14:textId="77777777" w:rsidR="00A442B0" w:rsidRPr="006312FA" w:rsidRDefault="00A442B0" w:rsidP="00226272">
            <w:pPr>
              <w:numPr>
                <w:ilvl w:val="0"/>
                <w:numId w:val="6"/>
              </w:numPr>
              <w:rPr>
                <w:rFonts w:ascii="Times New Roman" w:hAnsi="Times New Roman" w:cs="Times New Roman"/>
              </w:rPr>
            </w:pPr>
            <w:r w:rsidRPr="006312FA">
              <w:rPr>
                <w:rFonts w:ascii="Times New Roman" w:hAnsi="Times New Roman" w:cs="Times New Roman"/>
              </w:rPr>
              <w:t>Detect bottlenecks and growth constraints in existing programs of microenterprise development – with respect to livelihood and growth enterprises and suggest policy interventions to tackle them;</w:t>
            </w:r>
          </w:p>
          <w:p w14:paraId="4B47A72F" w14:textId="77777777" w:rsidR="00A442B0" w:rsidRPr="006312FA" w:rsidRDefault="00A442B0" w:rsidP="005A2B1E">
            <w:pPr>
              <w:numPr>
                <w:ilvl w:val="0"/>
                <w:numId w:val="6"/>
              </w:numPr>
              <w:rPr>
                <w:rFonts w:ascii="Times New Roman" w:hAnsi="Times New Roman" w:cs="Times New Roman"/>
                <w:lang w:val="en-GB"/>
              </w:rPr>
            </w:pPr>
            <w:r w:rsidRPr="006312FA">
              <w:rPr>
                <w:rFonts w:ascii="Times New Roman" w:hAnsi="Times New Roman" w:cs="Times New Roman"/>
              </w:rPr>
              <w:t xml:space="preserve">Evaluate the legal and regulatory environment for </w:t>
            </w:r>
            <w:r w:rsidRPr="006312FA">
              <w:rPr>
                <w:rFonts w:ascii="Times New Roman" w:hAnsi="Times New Roman" w:cs="Times New Roman"/>
                <w:lang w:val="en-GB"/>
              </w:rPr>
              <w:t>Islamic Microfinance;</w:t>
            </w:r>
          </w:p>
          <w:p w14:paraId="58C3565F" w14:textId="178E83FE" w:rsidR="00A442B0" w:rsidRPr="006312FA" w:rsidRDefault="00A442B0" w:rsidP="00226272">
            <w:pPr>
              <w:numPr>
                <w:ilvl w:val="0"/>
                <w:numId w:val="6"/>
              </w:numPr>
              <w:rPr>
                <w:rFonts w:ascii="Times New Roman" w:hAnsi="Times New Roman" w:cs="Times New Roman"/>
              </w:rPr>
            </w:pPr>
            <w:proofErr w:type="spellStart"/>
            <w:r w:rsidRPr="006312FA">
              <w:rPr>
                <w:rFonts w:ascii="Times New Roman" w:hAnsi="Times New Roman" w:cs="Times New Roman"/>
              </w:rPr>
              <w:t>Ana</w:t>
            </w:r>
            <w:r>
              <w:rPr>
                <w:rFonts w:ascii="Times New Roman" w:hAnsi="Times New Roman" w:cs="Times New Roman"/>
              </w:rPr>
              <w:t>lyse</w:t>
            </w:r>
            <w:proofErr w:type="spellEnd"/>
            <w:r>
              <w:rPr>
                <w:rFonts w:ascii="Times New Roman" w:hAnsi="Times New Roman" w:cs="Times New Roman"/>
              </w:rPr>
              <w:t xml:space="preserve"> the feasibility of developing</w:t>
            </w:r>
            <w:r w:rsidRPr="006312FA">
              <w:rPr>
                <w:rFonts w:ascii="Times New Roman" w:hAnsi="Times New Roman" w:cs="Times New Roman"/>
              </w:rPr>
              <w:t xml:space="preserve"> a fintech model for microfinance</w:t>
            </w:r>
            <w:r>
              <w:rPr>
                <w:rFonts w:ascii="Times New Roman" w:hAnsi="Times New Roman" w:cs="Times New Roman"/>
              </w:rPr>
              <w:t xml:space="preserve"> </w:t>
            </w:r>
            <w:r w:rsidR="00193C8A">
              <w:rPr>
                <w:rFonts w:ascii="Times New Roman" w:hAnsi="Times New Roman" w:cs="Times New Roman"/>
              </w:rPr>
              <w:t>and</w:t>
            </w:r>
            <w:r w:rsidRPr="005E3C60">
              <w:rPr>
                <w:rFonts w:ascii="Times New Roman" w:hAnsi="Times New Roman"/>
                <w:lang w:val="en-GB"/>
              </w:rPr>
              <w:t xml:space="preserve"> other catalytic ap</w:t>
            </w:r>
            <w:r>
              <w:rPr>
                <w:rFonts w:ascii="Times New Roman" w:hAnsi="Times New Roman"/>
                <w:lang w:val="en-GB"/>
              </w:rPr>
              <w:t>proaches to transform the micro</w:t>
            </w:r>
            <w:r w:rsidRPr="005E3C60">
              <w:rPr>
                <w:rFonts w:ascii="Times New Roman" w:hAnsi="Times New Roman"/>
                <w:lang w:val="en-GB"/>
              </w:rPr>
              <w:t>finance sector for affected populations</w:t>
            </w:r>
            <w:r w:rsidRPr="006312FA">
              <w:rPr>
                <w:rFonts w:ascii="Times New Roman" w:hAnsi="Times New Roman" w:cs="Times New Roman"/>
              </w:rPr>
              <w:t>;</w:t>
            </w:r>
          </w:p>
          <w:p w14:paraId="0766EE29" w14:textId="47F70E68" w:rsidR="00A442B0" w:rsidRDefault="00A442B0" w:rsidP="4B5827C5">
            <w:pPr>
              <w:rPr>
                <w:rFonts w:ascii="Times New Roman" w:eastAsiaTheme="minorEastAsia" w:hAnsi="Times New Roman" w:cs="Times New Roman"/>
              </w:rPr>
            </w:pPr>
          </w:p>
          <w:p w14:paraId="0E27B00A" w14:textId="77777777" w:rsidR="00A442B0" w:rsidRPr="006312FA" w:rsidRDefault="00A442B0" w:rsidP="004E56F1">
            <w:pPr>
              <w:jc w:val="both"/>
              <w:rPr>
                <w:rFonts w:ascii="Times New Roman" w:hAnsi="Times New Roman" w:cs="Times New Roman"/>
              </w:rPr>
            </w:pPr>
          </w:p>
        </w:tc>
        <w:tc>
          <w:tcPr>
            <w:tcW w:w="1843" w:type="dxa"/>
            <w:vAlign w:val="center"/>
          </w:tcPr>
          <w:p w14:paraId="08CD9E30" w14:textId="415AB520" w:rsidR="00A442B0" w:rsidRPr="006312FA" w:rsidRDefault="00CF2B9B" w:rsidP="00E168F2">
            <w:pPr>
              <w:jc w:val="center"/>
              <w:rPr>
                <w:rFonts w:ascii="Times New Roman" w:hAnsi="Times New Roman" w:cs="Times New Roman"/>
              </w:rPr>
            </w:pPr>
            <w:r>
              <w:rPr>
                <w:rFonts w:ascii="Times New Roman" w:hAnsi="Times New Roman" w:cs="Times New Roman"/>
              </w:rPr>
              <w:lastRenderedPageBreak/>
              <w:t>5</w:t>
            </w:r>
            <w:r w:rsidR="00E409C9">
              <w:rPr>
                <w:rFonts w:ascii="Times New Roman" w:hAnsi="Times New Roman" w:cs="Times New Roman"/>
              </w:rPr>
              <w:t>9</w:t>
            </w:r>
            <w:bookmarkStart w:id="0" w:name="_GoBack"/>
            <w:bookmarkEnd w:id="0"/>
            <w:r>
              <w:rPr>
                <w:rFonts w:ascii="Times New Roman" w:hAnsi="Times New Roman" w:cs="Times New Roman"/>
              </w:rPr>
              <w:t>,</w:t>
            </w:r>
            <w:r w:rsidR="00E409C9">
              <w:rPr>
                <w:rFonts w:ascii="Times New Roman" w:hAnsi="Times New Roman" w:cs="Times New Roman"/>
              </w:rPr>
              <w:t>4</w:t>
            </w:r>
            <w:r>
              <w:rPr>
                <w:rFonts w:ascii="Times New Roman" w:hAnsi="Times New Roman" w:cs="Times New Roman"/>
              </w:rPr>
              <w:t>00</w:t>
            </w:r>
          </w:p>
        </w:tc>
      </w:tr>
      <w:tr w:rsidR="00BE0CBB" w:rsidRPr="006312FA" w14:paraId="2A3B3E44" w14:textId="77777777" w:rsidTr="00D72033">
        <w:trPr>
          <w:trHeight w:val="3520"/>
        </w:trPr>
        <w:tc>
          <w:tcPr>
            <w:tcW w:w="2122" w:type="dxa"/>
            <w:shd w:val="clear" w:color="auto" w:fill="D9D9D9" w:themeFill="background1" w:themeFillShade="D9"/>
            <w:vAlign w:val="center"/>
          </w:tcPr>
          <w:p w14:paraId="00468591" w14:textId="319B0E1A" w:rsidR="00BE0CBB" w:rsidRPr="004E56F1" w:rsidRDefault="00BE0CBB" w:rsidP="004E56F1">
            <w:pPr>
              <w:rPr>
                <w:rFonts w:ascii="Times New Roman" w:hAnsi="Times New Roman" w:cs="Times New Roman"/>
                <w:b/>
                <w:bCs/>
              </w:rPr>
            </w:pPr>
            <w:r w:rsidRPr="004E56F1">
              <w:rPr>
                <w:rFonts w:ascii="Times New Roman" w:hAnsi="Times New Roman" w:cs="Times New Roman"/>
                <w:b/>
                <w:bCs/>
              </w:rPr>
              <w:t>Strategy Development</w:t>
            </w:r>
          </w:p>
        </w:tc>
        <w:tc>
          <w:tcPr>
            <w:tcW w:w="5811" w:type="dxa"/>
          </w:tcPr>
          <w:p w14:paraId="71CF883C" w14:textId="77777777" w:rsidR="00BE0CBB" w:rsidRDefault="00BE0CBB" w:rsidP="004E56F1">
            <w:pPr>
              <w:jc w:val="both"/>
              <w:rPr>
                <w:rFonts w:ascii="Times New Roman" w:hAnsi="Times New Roman" w:cs="Times New Roman"/>
              </w:rPr>
            </w:pPr>
          </w:p>
          <w:p w14:paraId="3C24F2C9" w14:textId="5A906DC2" w:rsidR="00BE0CBB" w:rsidRDefault="00BE0CBB" w:rsidP="004E56F1">
            <w:pPr>
              <w:jc w:val="both"/>
              <w:rPr>
                <w:rFonts w:ascii="Times New Roman" w:hAnsi="Times New Roman" w:cs="Times New Roman"/>
              </w:rPr>
            </w:pPr>
            <w:r w:rsidRPr="006312FA">
              <w:rPr>
                <w:rFonts w:ascii="Times New Roman" w:hAnsi="Times New Roman" w:cs="Times New Roman"/>
              </w:rPr>
              <w:t xml:space="preserve">After the assessment, which includes but is not limited to, the abovementioned factors, a Strategy for microfinance in Djibouti will be determined, through an analysis of best practices in the global Islamic microfinance sector. </w:t>
            </w:r>
          </w:p>
          <w:p w14:paraId="7082D66B" w14:textId="77777777" w:rsidR="00BE0CBB" w:rsidRDefault="00BE0CBB" w:rsidP="004E56F1">
            <w:pPr>
              <w:jc w:val="both"/>
              <w:rPr>
                <w:rFonts w:ascii="Times New Roman" w:hAnsi="Times New Roman" w:cs="Times New Roman"/>
              </w:rPr>
            </w:pPr>
          </w:p>
          <w:p w14:paraId="6668B90F" w14:textId="0FCAA787" w:rsidR="00BE0CBB" w:rsidRDefault="00BE0CBB" w:rsidP="004E56F1">
            <w:pPr>
              <w:jc w:val="both"/>
              <w:rPr>
                <w:rFonts w:ascii="Times New Roman" w:hAnsi="Times New Roman" w:cs="Times New Roman"/>
              </w:rPr>
            </w:pPr>
            <w:r w:rsidRPr="006312FA">
              <w:rPr>
                <w:rFonts w:ascii="Times New Roman" w:hAnsi="Times New Roman" w:cs="Times New Roman"/>
              </w:rPr>
              <w:t>The assessment will consider different models of microfinance (full-fledged microfinance institution, commercial banks provision</w:t>
            </w:r>
            <w:r>
              <w:rPr>
                <w:rFonts w:ascii="Times New Roman" w:hAnsi="Times New Roman" w:cs="Times New Roman"/>
              </w:rPr>
              <w:t>, fintech</w:t>
            </w:r>
            <w:r w:rsidRPr="006312FA">
              <w:rPr>
                <w:rFonts w:ascii="Times New Roman" w:hAnsi="Times New Roman" w:cs="Times New Roman"/>
              </w:rPr>
              <w:t xml:space="preserve"> etc.) and the Strategy will outline the model best fitting for the specific case of Djibouti.</w:t>
            </w:r>
            <w:r>
              <w:rPr>
                <w:rFonts w:ascii="Times New Roman" w:hAnsi="Times New Roman" w:cs="Times New Roman"/>
              </w:rPr>
              <w:t xml:space="preserve"> Recomme</w:t>
            </w:r>
            <w:r w:rsidR="00CB0411">
              <w:rPr>
                <w:rFonts w:ascii="Times New Roman" w:hAnsi="Times New Roman" w:cs="Times New Roman"/>
              </w:rPr>
              <w:t>n</w:t>
            </w:r>
            <w:r>
              <w:rPr>
                <w:rFonts w:ascii="Times New Roman" w:hAnsi="Times New Roman" w:cs="Times New Roman"/>
              </w:rPr>
              <w:t>dations will be provided for key stakeholders in the country.</w:t>
            </w:r>
          </w:p>
          <w:p w14:paraId="2C7EAE72" w14:textId="77777777" w:rsidR="00BE0CBB" w:rsidRPr="006312FA" w:rsidRDefault="00BE0CBB" w:rsidP="00DC39C6">
            <w:pPr>
              <w:jc w:val="both"/>
              <w:rPr>
                <w:rFonts w:ascii="Times New Roman" w:hAnsi="Times New Roman" w:cs="Times New Roman"/>
              </w:rPr>
            </w:pPr>
          </w:p>
        </w:tc>
        <w:tc>
          <w:tcPr>
            <w:tcW w:w="1843" w:type="dxa"/>
            <w:vAlign w:val="center"/>
          </w:tcPr>
          <w:p w14:paraId="12F709AF" w14:textId="21829A7E" w:rsidR="00BE0CBB" w:rsidRPr="006312FA" w:rsidRDefault="00253DC0" w:rsidP="00960421">
            <w:pPr>
              <w:jc w:val="center"/>
              <w:rPr>
                <w:rFonts w:ascii="Times New Roman" w:hAnsi="Times New Roman" w:cs="Times New Roman"/>
              </w:rPr>
            </w:pPr>
            <w:r>
              <w:rPr>
                <w:rFonts w:ascii="Times New Roman" w:hAnsi="Times New Roman" w:cs="Times New Roman"/>
              </w:rPr>
              <w:t>3</w:t>
            </w:r>
            <w:r w:rsidR="00E409C9">
              <w:rPr>
                <w:rFonts w:ascii="Times New Roman" w:hAnsi="Times New Roman" w:cs="Times New Roman"/>
              </w:rPr>
              <w:t>9</w:t>
            </w:r>
            <w:r w:rsidR="00BE0CBB">
              <w:rPr>
                <w:rFonts w:ascii="Times New Roman" w:hAnsi="Times New Roman" w:cs="Times New Roman"/>
              </w:rPr>
              <w:t>,</w:t>
            </w:r>
            <w:r w:rsidR="00E409C9">
              <w:rPr>
                <w:rFonts w:ascii="Times New Roman" w:hAnsi="Times New Roman" w:cs="Times New Roman"/>
              </w:rPr>
              <w:t>96</w:t>
            </w:r>
            <w:r w:rsidR="00BE0CBB">
              <w:rPr>
                <w:rFonts w:ascii="Times New Roman" w:hAnsi="Times New Roman" w:cs="Times New Roman"/>
              </w:rPr>
              <w:t>0</w:t>
            </w:r>
          </w:p>
        </w:tc>
      </w:tr>
      <w:tr w:rsidR="0028546A" w:rsidRPr="006312FA" w14:paraId="18F6FE23" w14:textId="77777777" w:rsidTr="00E409C9">
        <w:trPr>
          <w:trHeight w:val="2920"/>
        </w:trPr>
        <w:tc>
          <w:tcPr>
            <w:tcW w:w="2122" w:type="dxa"/>
            <w:shd w:val="clear" w:color="auto" w:fill="D9D9D9" w:themeFill="background1" w:themeFillShade="D9"/>
            <w:vAlign w:val="center"/>
          </w:tcPr>
          <w:p w14:paraId="2FDEF70B" w14:textId="78242190" w:rsidR="0028546A" w:rsidRPr="007A617E" w:rsidRDefault="0028546A" w:rsidP="0036092F">
            <w:pPr>
              <w:rPr>
                <w:rFonts w:ascii="Times New Roman" w:hAnsi="Times New Roman" w:cs="Times New Roman"/>
                <w:b/>
                <w:bCs/>
              </w:rPr>
            </w:pPr>
            <w:r w:rsidRPr="006312FA">
              <w:rPr>
                <w:rFonts w:ascii="Times New Roman" w:hAnsi="Times New Roman" w:cs="Times New Roman"/>
                <w:b/>
                <w:bCs/>
              </w:rPr>
              <w:t>Output</w:t>
            </w:r>
          </w:p>
        </w:tc>
        <w:tc>
          <w:tcPr>
            <w:tcW w:w="5811" w:type="dxa"/>
          </w:tcPr>
          <w:p w14:paraId="4F2847D7" w14:textId="77777777" w:rsidR="00E409C9" w:rsidRDefault="00E409C9" w:rsidP="0028546A">
            <w:pPr>
              <w:jc w:val="both"/>
              <w:rPr>
                <w:rFonts w:ascii="Times New Roman" w:hAnsi="Times New Roman" w:cs="Times New Roman"/>
                <w:lang w:val="cs-CZ"/>
              </w:rPr>
            </w:pPr>
          </w:p>
          <w:p w14:paraId="098E4963" w14:textId="2FE30EC0" w:rsidR="0028546A" w:rsidRPr="00193C8A" w:rsidRDefault="009E7C74" w:rsidP="0028546A">
            <w:pPr>
              <w:jc w:val="both"/>
              <w:rPr>
                <w:rFonts w:ascii="Times New Roman" w:hAnsi="Times New Roman" w:cs="Times New Roman"/>
              </w:rPr>
            </w:pPr>
            <w:r>
              <w:rPr>
                <w:rFonts w:ascii="Times New Roman" w:hAnsi="Times New Roman" w:cs="Times New Roman"/>
                <w:lang w:val="cs-CZ"/>
              </w:rPr>
              <w:t>I</w:t>
            </w:r>
            <w:r w:rsidR="0028546A" w:rsidRPr="00193C8A">
              <w:rPr>
                <w:rFonts w:ascii="Times New Roman" w:hAnsi="Times New Roman" w:cs="Times New Roman"/>
                <w:lang w:val="cs-CZ"/>
              </w:rPr>
              <w:t xml:space="preserve">n line with the strategy, </w:t>
            </w:r>
            <w:r w:rsidR="0008570C">
              <w:rPr>
                <w:rFonts w:ascii="Times New Roman" w:hAnsi="Times New Roman" w:cs="Times New Roman"/>
                <w:lang w:val="cs-CZ"/>
              </w:rPr>
              <w:t xml:space="preserve">a product will be designed </w:t>
            </w:r>
            <w:r w:rsidR="0028546A" w:rsidRPr="00193C8A">
              <w:rPr>
                <w:rFonts w:ascii="Times New Roman" w:hAnsi="Times New Roman" w:cs="Times New Roman"/>
                <w:lang w:val="cs-CZ"/>
              </w:rPr>
              <w:t xml:space="preserve">either </w:t>
            </w:r>
            <w:r w:rsidR="0008570C">
              <w:rPr>
                <w:rFonts w:ascii="Times New Roman" w:hAnsi="Times New Roman" w:cs="Times New Roman"/>
                <w:lang w:val="cs-CZ"/>
              </w:rPr>
              <w:t xml:space="preserve">through modifying an </w:t>
            </w:r>
            <w:r w:rsidR="0028546A" w:rsidRPr="00193C8A">
              <w:rPr>
                <w:rFonts w:ascii="Times New Roman" w:hAnsi="Times New Roman" w:cs="Times New Roman"/>
                <w:lang w:val="cs-CZ"/>
              </w:rPr>
              <w:t xml:space="preserve">existing </w:t>
            </w:r>
            <w:r w:rsidR="0008570C">
              <w:rPr>
                <w:rFonts w:ascii="Times New Roman" w:hAnsi="Times New Roman" w:cs="Times New Roman"/>
                <w:lang w:val="cs-CZ"/>
              </w:rPr>
              <w:t xml:space="preserve">under-performing </w:t>
            </w:r>
            <w:r w:rsidR="0028546A" w:rsidRPr="00193C8A">
              <w:rPr>
                <w:rFonts w:ascii="Times New Roman" w:hAnsi="Times New Roman" w:cs="Times New Roman"/>
                <w:lang w:val="cs-CZ"/>
              </w:rPr>
              <w:t xml:space="preserve">Islamic microfinance program in </w:t>
            </w:r>
            <w:r w:rsidR="0008570C">
              <w:rPr>
                <w:rFonts w:ascii="Times New Roman" w:hAnsi="Times New Roman" w:cs="Times New Roman"/>
                <w:lang w:val="cs-CZ"/>
              </w:rPr>
              <w:t>the country o</w:t>
            </w:r>
            <w:r w:rsidR="0028546A" w:rsidRPr="00193C8A">
              <w:rPr>
                <w:rFonts w:ascii="Times New Roman" w:hAnsi="Times New Roman" w:cs="Times New Roman"/>
                <w:lang w:val="cs-CZ"/>
              </w:rPr>
              <w:t xml:space="preserve">r </w:t>
            </w:r>
            <w:r w:rsidR="00E409C9">
              <w:rPr>
                <w:rFonts w:ascii="Times New Roman" w:hAnsi="Times New Roman" w:cs="Times New Roman"/>
                <w:lang w:val="cs-CZ"/>
              </w:rPr>
              <w:t>a</w:t>
            </w:r>
            <w:r w:rsidR="0008570C">
              <w:rPr>
                <w:rFonts w:ascii="Times New Roman" w:hAnsi="Times New Roman" w:cs="Times New Roman"/>
                <w:lang w:val="cs-CZ"/>
              </w:rPr>
              <w:t xml:space="preserve"> </w:t>
            </w:r>
            <w:r w:rsidR="0028546A" w:rsidRPr="00193C8A">
              <w:rPr>
                <w:rFonts w:ascii="Times New Roman" w:hAnsi="Times New Roman" w:cs="Times New Roman"/>
                <w:lang w:val="cs-CZ"/>
              </w:rPr>
              <w:t xml:space="preserve">new program will be </w:t>
            </w:r>
            <w:r w:rsidR="0008570C">
              <w:rPr>
                <w:rFonts w:ascii="Times New Roman" w:hAnsi="Times New Roman" w:cs="Times New Roman"/>
                <w:lang w:val="cs-CZ"/>
              </w:rPr>
              <w:t xml:space="preserve">initiated </w:t>
            </w:r>
            <w:r w:rsidR="0028546A" w:rsidRPr="00193C8A">
              <w:rPr>
                <w:rFonts w:ascii="Times New Roman" w:hAnsi="Times New Roman" w:cs="Times New Roman"/>
                <w:lang w:val="cs-CZ"/>
              </w:rPr>
              <w:t xml:space="preserve">and </w:t>
            </w:r>
            <w:r w:rsidR="0008570C">
              <w:rPr>
                <w:rFonts w:ascii="Times New Roman" w:hAnsi="Times New Roman" w:cs="Times New Roman"/>
                <w:lang w:val="cs-CZ"/>
              </w:rPr>
              <w:t xml:space="preserve">developed. </w:t>
            </w:r>
            <w:r w:rsidR="0028546A" w:rsidRPr="00193C8A">
              <w:rPr>
                <w:rFonts w:ascii="Times New Roman" w:hAnsi="Times New Roman" w:cs="Times New Roman"/>
                <w:lang w:val="cs-CZ"/>
              </w:rPr>
              <w:t xml:space="preserve"> </w:t>
            </w:r>
          </w:p>
          <w:p w14:paraId="32A204B1" w14:textId="77777777" w:rsidR="0028546A" w:rsidRDefault="0028546A" w:rsidP="0028546A">
            <w:pPr>
              <w:jc w:val="both"/>
              <w:rPr>
                <w:rFonts w:ascii="Times New Roman" w:hAnsi="Times New Roman" w:cs="Times New Roman"/>
                <w:lang w:val="en-GB"/>
              </w:rPr>
            </w:pPr>
            <w:r w:rsidRPr="4B5827C5">
              <w:rPr>
                <w:rFonts w:ascii="Times New Roman" w:hAnsi="Times New Roman" w:cs="Times New Roman"/>
                <w:lang w:val="en-GB"/>
              </w:rPr>
              <w:t>Monitoring and evaluation will be conducted on a regular basis and project results will be used for future projects.</w:t>
            </w:r>
            <w:r>
              <w:rPr>
                <w:rFonts w:ascii="Times New Roman" w:hAnsi="Times New Roman" w:cs="Times New Roman"/>
                <w:lang w:val="en-GB"/>
              </w:rPr>
              <w:t xml:space="preserve"> Key metrics such as funding provided, enterprises supported, and other forms of impact will be identified and tracked.</w:t>
            </w:r>
          </w:p>
          <w:p w14:paraId="17B8240F" w14:textId="77777777" w:rsidR="0028546A" w:rsidRPr="0028546A" w:rsidRDefault="0028546A" w:rsidP="00DC39C6">
            <w:pPr>
              <w:jc w:val="both"/>
              <w:rPr>
                <w:rFonts w:ascii="Times New Roman" w:hAnsi="Times New Roman" w:cs="Times New Roman"/>
                <w:lang w:val="en-GB"/>
              </w:rPr>
            </w:pPr>
          </w:p>
        </w:tc>
        <w:tc>
          <w:tcPr>
            <w:tcW w:w="1843" w:type="dxa"/>
            <w:vAlign w:val="center"/>
          </w:tcPr>
          <w:p w14:paraId="0E4C1CBC" w14:textId="3644937F" w:rsidR="007F50F0" w:rsidRPr="001E64A3" w:rsidRDefault="00E409C9" w:rsidP="001E64A3">
            <w:pPr>
              <w:jc w:val="center"/>
              <w:rPr>
                <w:rFonts w:ascii="Times New Roman" w:hAnsi="Times New Roman" w:cs="Times New Roman"/>
                <w:lang w:val="en-GB"/>
              </w:rPr>
            </w:pPr>
            <w:r>
              <w:rPr>
                <w:rFonts w:ascii="Times New Roman" w:hAnsi="Times New Roman" w:cs="Times New Roman"/>
                <w:lang w:val="en-GB"/>
              </w:rPr>
              <w:t>70</w:t>
            </w:r>
            <w:r w:rsidR="00FA2ADF">
              <w:rPr>
                <w:rFonts w:ascii="Times New Roman" w:hAnsi="Times New Roman" w:cs="Times New Roman"/>
                <w:lang w:val="en-GB"/>
              </w:rPr>
              <w:t>,</w:t>
            </w:r>
            <w:r>
              <w:rPr>
                <w:rFonts w:ascii="Times New Roman" w:hAnsi="Times New Roman" w:cs="Times New Roman"/>
                <w:lang w:val="en-GB"/>
              </w:rPr>
              <w:t>2</w:t>
            </w:r>
            <w:r w:rsidR="00FA2ADF">
              <w:rPr>
                <w:rFonts w:ascii="Times New Roman" w:hAnsi="Times New Roman" w:cs="Times New Roman"/>
                <w:lang w:val="en-GB"/>
              </w:rPr>
              <w:t>00</w:t>
            </w:r>
          </w:p>
        </w:tc>
      </w:tr>
      <w:tr w:rsidR="00BD3E7C" w:rsidRPr="006312FA" w14:paraId="64FA78FC" w14:textId="77777777" w:rsidTr="00E409C9">
        <w:tc>
          <w:tcPr>
            <w:tcW w:w="7933" w:type="dxa"/>
            <w:gridSpan w:val="2"/>
            <w:shd w:val="clear" w:color="auto" w:fill="D9D9D9" w:themeFill="background1" w:themeFillShade="D9"/>
            <w:vAlign w:val="center"/>
          </w:tcPr>
          <w:p w14:paraId="03987B12" w14:textId="7C4507F7" w:rsidR="00BD3E7C" w:rsidRPr="003621A7" w:rsidRDefault="00BD3E7C" w:rsidP="003621A7">
            <w:pPr>
              <w:jc w:val="right"/>
              <w:rPr>
                <w:rFonts w:ascii="Times New Roman" w:hAnsi="Times New Roman" w:cs="Times New Roman"/>
                <w:b/>
                <w:bCs/>
              </w:rPr>
            </w:pPr>
            <w:r w:rsidRPr="003621A7">
              <w:rPr>
                <w:rFonts w:ascii="Times New Roman" w:hAnsi="Times New Roman" w:cs="Times New Roman"/>
                <w:b/>
                <w:bCs/>
              </w:rPr>
              <w:t>PHASE I TOTAL</w:t>
            </w:r>
            <w:r w:rsidR="00E409C9">
              <w:rPr>
                <w:rStyle w:val="FootnoteReference"/>
                <w:rFonts w:ascii="Times New Roman" w:hAnsi="Times New Roman" w:cs="Times New Roman"/>
                <w:b/>
                <w:bCs/>
              </w:rPr>
              <w:footnoteReference w:id="4"/>
            </w:r>
          </w:p>
        </w:tc>
        <w:tc>
          <w:tcPr>
            <w:tcW w:w="1843" w:type="dxa"/>
            <w:shd w:val="clear" w:color="auto" w:fill="D9D9D9" w:themeFill="background1" w:themeFillShade="D9"/>
            <w:vAlign w:val="center"/>
          </w:tcPr>
          <w:p w14:paraId="0BB6201C" w14:textId="538EDF9F" w:rsidR="00BD3E7C" w:rsidRDefault="00BD3E7C" w:rsidP="00797E70">
            <w:pPr>
              <w:jc w:val="center"/>
              <w:rPr>
                <w:rFonts w:ascii="Times New Roman" w:hAnsi="Times New Roman" w:cs="Times New Roman"/>
              </w:rPr>
            </w:pPr>
            <w:r>
              <w:rPr>
                <w:rFonts w:ascii="Times New Roman" w:hAnsi="Times New Roman" w:cs="Times New Roman"/>
              </w:rPr>
              <w:t>$1</w:t>
            </w:r>
            <w:r w:rsidR="002A2010">
              <w:rPr>
                <w:rFonts w:ascii="Times New Roman" w:hAnsi="Times New Roman" w:cs="Times New Roman"/>
              </w:rPr>
              <w:t>69</w:t>
            </w:r>
            <w:r>
              <w:rPr>
                <w:rFonts w:ascii="Times New Roman" w:hAnsi="Times New Roman" w:cs="Times New Roman"/>
              </w:rPr>
              <w:t>,</w:t>
            </w:r>
            <w:r w:rsidR="002A2010">
              <w:rPr>
                <w:rFonts w:ascii="Times New Roman" w:hAnsi="Times New Roman" w:cs="Times New Roman"/>
              </w:rPr>
              <w:t>560</w:t>
            </w:r>
          </w:p>
        </w:tc>
      </w:tr>
      <w:tr w:rsidR="00BD3E7C" w:rsidRPr="006312FA" w14:paraId="236E7742" w14:textId="77777777" w:rsidTr="00BD3E7C">
        <w:tc>
          <w:tcPr>
            <w:tcW w:w="9776" w:type="dxa"/>
            <w:gridSpan w:val="3"/>
            <w:shd w:val="clear" w:color="auto" w:fill="D9D9D9" w:themeFill="background1" w:themeFillShade="D9"/>
            <w:vAlign w:val="center"/>
          </w:tcPr>
          <w:p w14:paraId="401FEA5B" w14:textId="4B7EB4A3" w:rsidR="00BD3E7C" w:rsidRPr="00BD3E7C" w:rsidRDefault="00BD3E7C" w:rsidP="00797E70">
            <w:pPr>
              <w:jc w:val="center"/>
              <w:rPr>
                <w:rFonts w:ascii="Times New Roman" w:hAnsi="Times New Roman" w:cs="Times New Roman"/>
                <w:b/>
                <w:bCs/>
              </w:rPr>
            </w:pPr>
            <w:r w:rsidRPr="00BD3E7C">
              <w:rPr>
                <w:rFonts w:ascii="Times New Roman" w:hAnsi="Times New Roman" w:cs="Times New Roman"/>
                <w:b/>
                <w:bCs/>
              </w:rPr>
              <w:lastRenderedPageBreak/>
              <w:t>PHASE II</w:t>
            </w:r>
          </w:p>
        </w:tc>
      </w:tr>
      <w:tr w:rsidR="00E5659B" w:rsidRPr="006312FA" w14:paraId="5FE6BC33" w14:textId="77777777" w:rsidTr="00D72033">
        <w:tc>
          <w:tcPr>
            <w:tcW w:w="2122" w:type="dxa"/>
            <w:shd w:val="clear" w:color="auto" w:fill="D9D9D9" w:themeFill="background1" w:themeFillShade="D9"/>
            <w:vAlign w:val="center"/>
          </w:tcPr>
          <w:p w14:paraId="3063D9C1" w14:textId="1814454B" w:rsidR="00E5659B" w:rsidRPr="007A617E" w:rsidRDefault="007A617E" w:rsidP="0036092F">
            <w:pPr>
              <w:rPr>
                <w:rFonts w:ascii="Times New Roman" w:hAnsi="Times New Roman" w:cs="Times New Roman"/>
                <w:b/>
                <w:bCs/>
              </w:rPr>
            </w:pPr>
            <w:r w:rsidRPr="007A617E">
              <w:rPr>
                <w:rFonts w:ascii="Times New Roman" w:hAnsi="Times New Roman" w:cs="Times New Roman"/>
                <w:b/>
                <w:bCs/>
              </w:rPr>
              <w:t xml:space="preserve">Islamic </w:t>
            </w:r>
            <w:r w:rsidR="00B76A38">
              <w:rPr>
                <w:rFonts w:ascii="Times New Roman" w:hAnsi="Times New Roman" w:cs="Times New Roman"/>
                <w:b/>
                <w:bCs/>
              </w:rPr>
              <w:t>Banking</w:t>
            </w:r>
            <w:r w:rsidRPr="007A617E">
              <w:rPr>
                <w:rFonts w:ascii="Times New Roman" w:hAnsi="Times New Roman" w:cs="Times New Roman"/>
                <w:b/>
                <w:bCs/>
              </w:rPr>
              <w:t>: A Participation Finance Approach Workshop</w:t>
            </w:r>
          </w:p>
        </w:tc>
        <w:tc>
          <w:tcPr>
            <w:tcW w:w="5811" w:type="dxa"/>
          </w:tcPr>
          <w:p w14:paraId="2D4B66C8" w14:textId="77777777" w:rsidR="00EC54B2" w:rsidRDefault="00EC54B2" w:rsidP="00DC39C6">
            <w:pPr>
              <w:jc w:val="both"/>
              <w:rPr>
                <w:rFonts w:ascii="Times New Roman" w:hAnsi="Times New Roman" w:cs="Times New Roman"/>
              </w:rPr>
            </w:pPr>
          </w:p>
          <w:p w14:paraId="739A092F" w14:textId="5107A4D5" w:rsidR="004C341B" w:rsidRPr="00B033FE" w:rsidRDefault="00310F14" w:rsidP="00DC39C6">
            <w:pPr>
              <w:jc w:val="both"/>
              <w:rPr>
                <w:rFonts w:ascii="Times New Roman" w:hAnsi="Times New Roman" w:cs="Times New Roman"/>
                <w:lang w:val="tr-TR"/>
              </w:rPr>
            </w:pPr>
            <w:r>
              <w:rPr>
                <w:rFonts w:ascii="Times New Roman" w:hAnsi="Times New Roman" w:cs="Times New Roman"/>
              </w:rPr>
              <w:t>Ensuring</w:t>
            </w:r>
            <w:r w:rsidR="00E76862">
              <w:rPr>
                <w:rFonts w:ascii="Times New Roman" w:hAnsi="Times New Roman" w:cs="Times New Roman"/>
              </w:rPr>
              <w:t xml:space="preserve"> a sustainable and strengthened growth of Is</w:t>
            </w:r>
            <w:r w:rsidR="004C341B">
              <w:rPr>
                <w:rFonts w:ascii="Times New Roman" w:hAnsi="Times New Roman" w:cs="Times New Roman"/>
              </w:rPr>
              <w:t>lamic microfinance</w:t>
            </w:r>
            <w:r w:rsidR="00B033FE">
              <w:rPr>
                <w:rFonts w:ascii="Times New Roman" w:hAnsi="Times New Roman" w:cs="Times New Roman"/>
              </w:rPr>
              <w:t xml:space="preserve"> </w:t>
            </w:r>
            <w:r w:rsidR="00AA7745">
              <w:rPr>
                <w:rFonts w:ascii="Times New Roman" w:hAnsi="Times New Roman" w:cs="Times New Roman"/>
              </w:rPr>
              <w:t xml:space="preserve">is dependent on the </w:t>
            </w:r>
            <w:r w:rsidR="00E76862">
              <w:rPr>
                <w:rFonts w:ascii="Times New Roman" w:hAnsi="Times New Roman" w:cs="Times New Roman"/>
              </w:rPr>
              <w:t>development of the Islamic finance ecosyste</w:t>
            </w:r>
            <w:r>
              <w:rPr>
                <w:rFonts w:ascii="Times New Roman" w:hAnsi="Times New Roman" w:cs="Times New Roman"/>
              </w:rPr>
              <w:t>m in the country.</w:t>
            </w:r>
          </w:p>
          <w:p w14:paraId="64522410" w14:textId="153B5250" w:rsidR="00FE6382" w:rsidRDefault="003804E4" w:rsidP="00DC39C6">
            <w:pPr>
              <w:jc w:val="both"/>
              <w:rPr>
                <w:rFonts w:ascii="Times New Roman" w:hAnsi="Times New Roman" w:cs="Times New Roman"/>
              </w:rPr>
            </w:pPr>
            <w:r>
              <w:rPr>
                <w:rFonts w:ascii="Times New Roman" w:hAnsi="Times New Roman" w:cs="Times New Roman"/>
              </w:rPr>
              <w:t xml:space="preserve">With this respect, </w:t>
            </w:r>
            <w:r w:rsidR="004C341B">
              <w:rPr>
                <w:rFonts w:ascii="Times New Roman" w:hAnsi="Times New Roman" w:cs="Times New Roman"/>
              </w:rPr>
              <w:t xml:space="preserve">IICPSD, in partnership with TKBB, will conduct a workshop on the Islamic </w:t>
            </w:r>
            <w:r w:rsidR="00993371">
              <w:rPr>
                <w:rFonts w:ascii="Times New Roman" w:hAnsi="Times New Roman" w:cs="Times New Roman"/>
              </w:rPr>
              <w:t>banking</w:t>
            </w:r>
            <w:r w:rsidR="004C341B">
              <w:rPr>
                <w:rFonts w:ascii="Times New Roman" w:hAnsi="Times New Roman" w:cs="Times New Roman"/>
              </w:rPr>
              <w:t xml:space="preserve"> ecosystem </w:t>
            </w:r>
            <w:r w:rsidR="00192085">
              <w:rPr>
                <w:rFonts w:ascii="Times New Roman" w:hAnsi="Times New Roman" w:cs="Times New Roman"/>
              </w:rPr>
              <w:t xml:space="preserve">to enable the exchange of </w:t>
            </w:r>
            <w:r w:rsidR="00111F36">
              <w:rPr>
                <w:rFonts w:ascii="Times New Roman" w:hAnsi="Times New Roman" w:cs="Times New Roman"/>
              </w:rPr>
              <w:t xml:space="preserve">knowledge and expertise for the development of the sector in Djibouti. </w:t>
            </w:r>
            <w:r w:rsidR="00CE3053">
              <w:rPr>
                <w:rFonts w:ascii="Times New Roman" w:hAnsi="Times New Roman" w:cs="Times New Roman"/>
              </w:rPr>
              <w:t xml:space="preserve">Subjects ranging from retail, </w:t>
            </w:r>
            <w:r w:rsidR="00CB0411">
              <w:rPr>
                <w:rFonts w:ascii="Times New Roman" w:hAnsi="Times New Roman" w:cs="Times New Roman"/>
              </w:rPr>
              <w:t>SME</w:t>
            </w:r>
            <w:r w:rsidR="00CE3053">
              <w:rPr>
                <w:rFonts w:ascii="Times New Roman" w:hAnsi="Times New Roman" w:cs="Times New Roman"/>
              </w:rPr>
              <w:t>, corporate banking sales and marketing</w:t>
            </w:r>
            <w:r w:rsidR="009424F3">
              <w:rPr>
                <w:rFonts w:ascii="Times New Roman" w:hAnsi="Times New Roman" w:cs="Times New Roman"/>
              </w:rPr>
              <w:t xml:space="preserve">; </w:t>
            </w:r>
            <w:r w:rsidR="00AD68B6">
              <w:rPr>
                <w:rFonts w:ascii="Times New Roman" w:hAnsi="Times New Roman" w:cs="Times New Roman"/>
              </w:rPr>
              <w:t xml:space="preserve">product development; risk management; Shariah governance; treasury and international banking </w:t>
            </w:r>
            <w:r w:rsidR="00193C8A">
              <w:rPr>
                <w:rFonts w:ascii="Times New Roman" w:hAnsi="Times New Roman" w:cs="Times New Roman"/>
              </w:rPr>
              <w:t>will</w:t>
            </w:r>
            <w:r w:rsidR="00FE6382">
              <w:rPr>
                <w:rFonts w:ascii="Times New Roman" w:hAnsi="Times New Roman" w:cs="Times New Roman"/>
              </w:rPr>
              <w:t xml:space="preserve"> be included </w:t>
            </w:r>
            <w:r w:rsidR="00367597">
              <w:rPr>
                <w:rFonts w:ascii="Times New Roman" w:hAnsi="Times New Roman" w:cs="Times New Roman"/>
              </w:rPr>
              <w:t xml:space="preserve">in the content, </w:t>
            </w:r>
            <w:r w:rsidR="00FE6382">
              <w:rPr>
                <w:rFonts w:ascii="Times New Roman" w:hAnsi="Times New Roman" w:cs="Times New Roman"/>
              </w:rPr>
              <w:t xml:space="preserve">depending on the demand from the national stakeholders in Djibouti. </w:t>
            </w:r>
          </w:p>
          <w:p w14:paraId="78865A8D" w14:textId="77777777" w:rsidR="00FE6382" w:rsidRDefault="00FE6382" w:rsidP="00DC39C6">
            <w:pPr>
              <w:jc w:val="both"/>
              <w:rPr>
                <w:rFonts w:ascii="Times New Roman" w:hAnsi="Times New Roman" w:cs="Times New Roman"/>
              </w:rPr>
            </w:pPr>
          </w:p>
          <w:p w14:paraId="7BB6525D" w14:textId="3873185F" w:rsidR="00422283" w:rsidRDefault="00FE6382" w:rsidP="00DC39C6">
            <w:pPr>
              <w:jc w:val="both"/>
              <w:rPr>
                <w:rFonts w:ascii="Times New Roman" w:hAnsi="Times New Roman" w:cs="Times New Roman"/>
              </w:rPr>
            </w:pPr>
            <w:r>
              <w:rPr>
                <w:rFonts w:ascii="Times New Roman" w:hAnsi="Times New Roman" w:cs="Times New Roman"/>
              </w:rPr>
              <w:t xml:space="preserve">The target </w:t>
            </w:r>
            <w:r w:rsidR="00CB0411">
              <w:rPr>
                <w:rFonts w:ascii="Times New Roman" w:hAnsi="Times New Roman" w:cs="Times New Roman"/>
              </w:rPr>
              <w:t>audience</w:t>
            </w:r>
            <w:r>
              <w:rPr>
                <w:rFonts w:ascii="Times New Roman" w:hAnsi="Times New Roman" w:cs="Times New Roman"/>
              </w:rPr>
              <w:t xml:space="preserve"> for the workshop will</w:t>
            </w:r>
            <w:r w:rsidR="00367597">
              <w:rPr>
                <w:rFonts w:ascii="Times New Roman" w:hAnsi="Times New Roman" w:cs="Times New Roman"/>
              </w:rPr>
              <w:t xml:space="preserve"> be </w:t>
            </w:r>
            <w:r w:rsidR="00A26D4C">
              <w:rPr>
                <w:rFonts w:ascii="Times New Roman" w:hAnsi="Times New Roman" w:cs="Times New Roman"/>
              </w:rPr>
              <w:t xml:space="preserve">from the public and private sector, including participants from Islamic banks and </w:t>
            </w:r>
            <w:r w:rsidR="00422283">
              <w:rPr>
                <w:rFonts w:ascii="Times New Roman" w:hAnsi="Times New Roman" w:cs="Times New Roman"/>
              </w:rPr>
              <w:t xml:space="preserve">other legislative bodies. </w:t>
            </w:r>
          </w:p>
          <w:p w14:paraId="26E953C6" w14:textId="603F8A26" w:rsidR="00422283" w:rsidRDefault="00422283" w:rsidP="00DC39C6">
            <w:pPr>
              <w:jc w:val="both"/>
              <w:rPr>
                <w:rFonts w:ascii="Times New Roman" w:hAnsi="Times New Roman" w:cs="Times New Roman"/>
              </w:rPr>
            </w:pPr>
          </w:p>
          <w:p w14:paraId="00A3CEFE" w14:textId="25B6A754" w:rsidR="00422283" w:rsidRPr="00422283" w:rsidRDefault="00422283" w:rsidP="00DC39C6">
            <w:pPr>
              <w:jc w:val="both"/>
              <w:rPr>
                <w:rFonts w:ascii="Times New Roman" w:hAnsi="Times New Roman" w:cs="Times New Roman"/>
                <w:i/>
                <w:iCs/>
              </w:rPr>
            </w:pPr>
            <w:r>
              <w:rPr>
                <w:rFonts w:ascii="Times New Roman" w:hAnsi="Times New Roman" w:cs="Times New Roman"/>
                <w:i/>
                <w:iCs/>
              </w:rPr>
              <w:t xml:space="preserve">The </w:t>
            </w:r>
            <w:r w:rsidR="00E96FF5">
              <w:rPr>
                <w:rFonts w:ascii="Times New Roman" w:hAnsi="Times New Roman" w:cs="Times New Roman"/>
                <w:i/>
                <w:iCs/>
              </w:rPr>
              <w:t xml:space="preserve">decision to hold the </w:t>
            </w:r>
            <w:r>
              <w:rPr>
                <w:rFonts w:ascii="Times New Roman" w:hAnsi="Times New Roman" w:cs="Times New Roman"/>
                <w:i/>
                <w:iCs/>
              </w:rPr>
              <w:t xml:space="preserve">workshop </w:t>
            </w:r>
            <w:r w:rsidR="00F9351A">
              <w:rPr>
                <w:rFonts w:ascii="Times New Roman" w:hAnsi="Times New Roman" w:cs="Times New Roman"/>
                <w:i/>
                <w:iCs/>
              </w:rPr>
              <w:t>virtually or physicall</w:t>
            </w:r>
            <w:r w:rsidR="008C7E46">
              <w:rPr>
                <w:rFonts w:ascii="Times New Roman" w:hAnsi="Times New Roman" w:cs="Times New Roman"/>
                <w:i/>
                <w:iCs/>
              </w:rPr>
              <w:t>y</w:t>
            </w:r>
            <w:r w:rsidR="00F9351A">
              <w:rPr>
                <w:rFonts w:ascii="Times New Roman" w:hAnsi="Times New Roman" w:cs="Times New Roman"/>
                <w:i/>
                <w:iCs/>
              </w:rPr>
              <w:t xml:space="preserve"> will be decided depending on the </w:t>
            </w:r>
            <w:r w:rsidR="008D0120">
              <w:rPr>
                <w:rFonts w:ascii="Times New Roman" w:hAnsi="Times New Roman" w:cs="Times New Roman"/>
                <w:i/>
                <w:iCs/>
              </w:rPr>
              <w:t xml:space="preserve">situation of </w:t>
            </w:r>
            <w:proofErr w:type="spellStart"/>
            <w:r w:rsidR="008D0120">
              <w:rPr>
                <w:rFonts w:ascii="Times New Roman" w:hAnsi="Times New Roman" w:cs="Times New Roman"/>
                <w:i/>
                <w:iCs/>
              </w:rPr>
              <w:t>Covid</w:t>
            </w:r>
            <w:proofErr w:type="spellEnd"/>
            <w:r w:rsidR="008D0120">
              <w:rPr>
                <w:rFonts w:ascii="Times New Roman" w:hAnsi="Times New Roman" w:cs="Times New Roman"/>
                <w:i/>
                <w:iCs/>
              </w:rPr>
              <w:t xml:space="preserve">. </w:t>
            </w:r>
          </w:p>
          <w:p w14:paraId="01A599C2" w14:textId="5A0D012C" w:rsidR="00E5659B" w:rsidRPr="006312FA" w:rsidRDefault="00192085" w:rsidP="00DC39C6">
            <w:pPr>
              <w:jc w:val="both"/>
              <w:rPr>
                <w:rFonts w:ascii="Times New Roman" w:hAnsi="Times New Roman" w:cs="Times New Roman"/>
              </w:rPr>
            </w:pPr>
            <w:r>
              <w:rPr>
                <w:rFonts w:ascii="Times New Roman" w:hAnsi="Times New Roman" w:cs="Times New Roman"/>
              </w:rPr>
              <w:t xml:space="preserve"> </w:t>
            </w:r>
          </w:p>
        </w:tc>
        <w:tc>
          <w:tcPr>
            <w:tcW w:w="1843" w:type="dxa"/>
            <w:vAlign w:val="center"/>
          </w:tcPr>
          <w:p w14:paraId="49085662" w14:textId="4A78EACF" w:rsidR="00E5659B" w:rsidRPr="006312FA" w:rsidRDefault="00BF237B" w:rsidP="00797E70">
            <w:pPr>
              <w:jc w:val="center"/>
              <w:rPr>
                <w:rFonts w:ascii="Times New Roman" w:hAnsi="Times New Roman" w:cs="Times New Roman"/>
              </w:rPr>
            </w:pPr>
            <w:r>
              <w:rPr>
                <w:rFonts w:ascii="Times New Roman" w:hAnsi="Times New Roman" w:cs="Times New Roman"/>
              </w:rPr>
              <w:t>2</w:t>
            </w:r>
            <w:r w:rsidR="00E409C9">
              <w:rPr>
                <w:rFonts w:ascii="Times New Roman" w:hAnsi="Times New Roman" w:cs="Times New Roman"/>
              </w:rPr>
              <w:t>1</w:t>
            </w:r>
            <w:r w:rsidR="00CF7BBB">
              <w:rPr>
                <w:rFonts w:ascii="Times New Roman" w:hAnsi="Times New Roman" w:cs="Times New Roman"/>
              </w:rPr>
              <w:t>,</w:t>
            </w:r>
            <w:r w:rsidR="00E409C9">
              <w:rPr>
                <w:rFonts w:ascii="Times New Roman" w:hAnsi="Times New Roman" w:cs="Times New Roman"/>
              </w:rPr>
              <w:t>6</w:t>
            </w:r>
            <w:r w:rsidR="00CF7BBB">
              <w:rPr>
                <w:rFonts w:ascii="Times New Roman" w:hAnsi="Times New Roman" w:cs="Times New Roman"/>
              </w:rPr>
              <w:t>00</w:t>
            </w:r>
          </w:p>
        </w:tc>
      </w:tr>
      <w:tr w:rsidR="008475CB" w:rsidRPr="006312FA" w14:paraId="39550342" w14:textId="533A43DE" w:rsidTr="00D72033">
        <w:tc>
          <w:tcPr>
            <w:tcW w:w="2122" w:type="dxa"/>
            <w:shd w:val="clear" w:color="auto" w:fill="D9D9D9" w:themeFill="background1" w:themeFillShade="D9"/>
            <w:vAlign w:val="center"/>
          </w:tcPr>
          <w:p w14:paraId="62D2C452" w14:textId="6ECDB96B" w:rsidR="008475CB" w:rsidRPr="006312FA" w:rsidRDefault="008D0120" w:rsidP="00860CE1">
            <w:pPr>
              <w:rPr>
                <w:rFonts w:ascii="Times New Roman" w:hAnsi="Times New Roman" w:cs="Times New Roman"/>
                <w:b/>
              </w:rPr>
            </w:pPr>
            <w:r>
              <w:rPr>
                <w:rFonts w:ascii="Times New Roman" w:hAnsi="Times New Roman" w:cs="Times New Roman"/>
                <w:b/>
              </w:rPr>
              <w:t>Islamic Microfinance Training</w:t>
            </w:r>
            <w:r w:rsidR="008475CB" w:rsidRPr="006312FA">
              <w:rPr>
                <w:rFonts w:ascii="Times New Roman" w:hAnsi="Times New Roman" w:cs="Times New Roman"/>
                <w:b/>
              </w:rPr>
              <w:t xml:space="preserve"> </w:t>
            </w:r>
          </w:p>
        </w:tc>
        <w:tc>
          <w:tcPr>
            <w:tcW w:w="5811" w:type="dxa"/>
          </w:tcPr>
          <w:p w14:paraId="4B94D5A5" w14:textId="77777777" w:rsidR="008475CB" w:rsidRPr="006312FA" w:rsidRDefault="008475CB" w:rsidP="00DC39C6">
            <w:pPr>
              <w:jc w:val="both"/>
              <w:rPr>
                <w:rFonts w:ascii="Times New Roman" w:hAnsi="Times New Roman" w:cs="Times New Roman"/>
              </w:rPr>
            </w:pPr>
          </w:p>
          <w:p w14:paraId="3DEEC669" w14:textId="6425B57E" w:rsidR="008475CB" w:rsidRDefault="008475CB" w:rsidP="00226272">
            <w:pPr>
              <w:jc w:val="both"/>
              <w:rPr>
                <w:rFonts w:ascii="Times New Roman" w:hAnsi="Times New Roman" w:cs="Times New Roman"/>
                <w:lang w:val="bs-Latn-BA"/>
              </w:rPr>
            </w:pPr>
            <w:r w:rsidRPr="4B5827C5">
              <w:rPr>
                <w:rFonts w:ascii="Times New Roman" w:hAnsi="Times New Roman" w:cs="Times New Roman"/>
                <w:lang w:val="bs-Latn-BA"/>
              </w:rPr>
              <w:t>IICPSD will provide training to the national stakeholders in Djibouti. The training is envisioned to take a form of a two-day long virtual event focusing on topics of Islamic microfinance. The trainings will provide details on the best practices in the area of Islamic micro</w:t>
            </w:r>
            <w:r>
              <w:rPr>
                <w:rFonts w:ascii="Times New Roman" w:hAnsi="Times New Roman" w:cs="Times New Roman"/>
                <w:lang w:val="bs-Latn-BA"/>
              </w:rPr>
              <w:t xml:space="preserve"> and SME financing</w:t>
            </w:r>
            <w:r w:rsidRPr="4B5827C5">
              <w:rPr>
                <w:rFonts w:ascii="Times New Roman" w:hAnsi="Times New Roman" w:cs="Times New Roman"/>
                <w:lang w:val="bs-Latn-BA"/>
              </w:rPr>
              <w:t xml:space="preserve"> from both Turkey and around the world. </w:t>
            </w:r>
          </w:p>
          <w:p w14:paraId="3656B9AB" w14:textId="55DA8BB7" w:rsidR="008475CB" w:rsidRPr="006312FA" w:rsidRDefault="008475CB" w:rsidP="00226272">
            <w:pPr>
              <w:jc w:val="both"/>
              <w:rPr>
                <w:rFonts w:ascii="Times New Roman" w:hAnsi="Times New Roman" w:cs="Times New Roman"/>
                <w:lang w:val="bs-Latn-BA"/>
              </w:rPr>
            </w:pPr>
            <w:r w:rsidRPr="4B5827C5">
              <w:rPr>
                <w:rFonts w:ascii="Times New Roman" w:hAnsi="Times New Roman" w:cs="Times New Roman"/>
                <w:lang w:val="bs-Latn-BA"/>
              </w:rPr>
              <w:t>Practices for different models of Islamic m</w:t>
            </w:r>
            <w:r>
              <w:rPr>
                <w:rFonts w:ascii="Times New Roman" w:hAnsi="Times New Roman" w:cs="Times New Roman"/>
                <w:lang w:val="bs-Latn-BA"/>
              </w:rPr>
              <w:t>ic</w:t>
            </w:r>
            <w:r w:rsidRPr="4B5827C5">
              <w:rPr>
                <w:rFonts w:ascii="Times New Roman" w:hAnsi="Times New Roman" w:cs="Times New Roman"/>
                <w:lang w:val="bs-Latn-BA"/>
              </w:rPr>
              <w:t>rofinance, such as provision by commercial banks, full-fledge</w:t>
            </w:r>
            <w:r>
              <w:rPr>
                <w:rFonts w:ascii="Times New Roman" w:hAnsi="Times New Roman" w:cs="Times New Roman"/>
                <w:lang w:val="bs-Latn-BA"/>
              </w:rPr>
              <w:t>d</w:t>
            </w:r>
            <w:r w:rsidRPr="4B5827C5">
              <w:rPr>
                <w:rFonts w:ascii="Times New Roman" w:hAnsi="Times New Roman" w:cs="Times New Roman"/>
                <w:lang w:val="bs-Latn-BA"/>
              </w:rPr>
              <w:t xml:space="preserve"> microfinance institutions, and potential for developing fintech model of microfinance provision, would be presented in the training.</w:t>
            </w:r>
          </w:p>
          <w:p w14:paraId="0E2E4055" w14:textId="77777777" w:rsidR="008475CB" w:rsidRPr="006312FA" w:rsidRDefault="008475CB" w:rsidP="00226272">
            <w:pPr>
              <w:jc w:val="both"/>
              <w:rPr>
                <w:rFonts w:ascii="Times New Roman" w:hAnsi="Times New Roman" w:cs="Times New Roman"/>
                <w:lang w:val="bs-Latn-BA"/>
              </w:rPr>
            </w:pPr>
            <w:r w:rsidRPr="006312FA">
              <w:rPr>
                <w:rFonts w:ascii="Times New Roman" w:hAnsi="Times New Roman" w:cs="Times New Roman"/>
                <w:lang w:val="bs-Latn-BA"/>
              </w:rPr>
              <w:t>Target participants:</w:t>
            </w:r>
          </w:p>
          <w:p w14:paraId="73DA1DB4" w14:textId="3C2EDA9A" w:rsidR="008475CB" w:rsidRPr="006312FA" w:rsidRDefault="008475CB" w:rsidP="00A77B81">
            <w:pPr>
              <w:pStyle w:val="ListParagraph"/>
              <w:numPr>
                <w:ilvl w:val="0"/>
                <w:numId w:val="10"/>
              </w:numPr>
              <w:spacing w:after="0" w:line="240" w:lineRule="auto"/>
              <w:jc w:val="both"/>
              <w:rPr>
                <w:rFonts w:ascii="Times New Roman" w:hAnsi="Times New Roman" w:cs="Times New Roman"/>
                <w:lang w:val="bs-Latn-BA"/>
              </w:rPr>
            </w:pPr>
            <w:r w:rsidRPr="006312FA">
              <w:rPr>
                <w:rFonts w:ascii="Times New Roman" w:hAnsi="Times New Roman" w:cs="Times New Roman"/>
                <w:lang w:val="bs-Latn-BA"/>
              </w:rPr>
              <w:t xml:space="preserve">Virtual training would have a wide target audience and include stakeholders from different lines of business, such as legal specialists, commercial bankers, Islamic microfinance providers </w:t>
            </w:r>
            <w:r>
              <w:rPr>
                <w:rFonts w:ascii="Times New Roman" w:hAnsi="Times New Roman" w:cs="Times New Roman"/>
                <w:lang w:val="bs-Latn-BA"/>
              </w:rPr>
              <w:t>etc</w:t>
            </w:r>
            <w:r w:rsidRPr="006312FA">
              <w:rPr>
                <w:rFonts w:ascii="Times New Roman" w:hAnsi="Times New Roman" w:cs="Times New Roman"/>
                <w:lang w:val="bs-Latn-BA"/>
              </w:rPr>
              <w:t>.</w:t>
            </w:r>
          </w:p>
          <w:p w14:paraId="2FE2D17A" w14:textId="292899A2" w:rsidR="008475CB" w:rsidRPr="006312FA" w:rsidRDefault="008475CB" w:rsidP="00A77B81">
            <w:pPr>
              <w:pStyle w:val="ListParagraph"/>
              <w:numPr>
                <w:ilvl w:val="0"/>
                <w:numId w:val="10"/>
              </w:numPr>
              <w:spacing w:after="0" w:line="240" w:lineRule="auto"/>
              <w:jc w:val="both"/>
              <w:rPr>
                <w:rFonts w:ascii="Times New Roman" w:hAnsi="Times New Roman" w:cs="Times New Roman"/>
                <w:lang w:val="bs-Latn-BA"/>
              </w:rPr>
            </w:pPr>
            <w:r w:rsidRPr="006312FA">
              <w:rPr>
                <w:rFonts w:ascii="Times New Roman" w:hAnsi="Times New Roman" w:cs="Times New Roman"/>
                <w:lang w:val="bs-Latn-BA"/>
              </w:rPr>
              <w:t>The representatives of KOS</w:t>
            </w:r>
            <w:r>
              <w:rPr>
                <w:rFonts w:ascii="Times New Roman" w:hAnsi="Times New Roman" w:cs="Times New Roman"/>
                <w:lang w:val="bs-Latn-BA"/>
              </w:rPr>
              <w:t>GEB</w:t>
            </w:r>
            <w:r w:rsidRPr="006312FA">
              <w:rPr>
                <w:rFonts w:ascii="Times New Roman" w:hAnsi="Times New Roman" w:cs="Times New Roman"/>
                <w:lang w:val="bs-Latn-BA"/>
              </w:rPr>
              <w:t xml:space="preserve"> and KGF would also be invited to participate by sharing their best practices with the Djibouti stakeholders.</w:t>
            </w:r>
          </w:p>
          <w:p w14:paraId="45FB0818" w14:textId="77777777" w:rsidR="008475CB" w:rsidRPr="006312FA" w:rsidRDefault="008475CB" w:rsidP="00226272">
            <w:pPr>
              <w:jc w:val="both"/>
              <w:rPr>
                <w:rFonts w:ascii="Times New Roman" w:hAnsi="Times New Roman" w:cs="Times New Roman"/>
              </w:rPr>
            </w:pPr>
          </w:p>
        </w:tc>
        <w:tc>
          <w:tcPr>
            <w:tcW w:w="1843" w:type="dxa"/>
            <w:vAlign w:val="center"/>
          </w:tcPr>
          <w:p w14:paraId="6A0FBBA1" w14:textId="4F4BBF81" w:rsidR="008475CB" w:rsidRDefault="00730D8F" w:rsidP="00CF7BBB">
            <w:pPr>
              <w:jc w:val="center"/>
              <w:rPr>
                <w:rFonts w:ascii="Times New Roman" w:hAnsi="Times New Roman" w:cs="Times New Roman"/>
              </w:rPr>
            </w:pPr>
            <w:r>
              <w:rPr>
                <w:rFonts w:ascii="Times New Roman" w:hAnsi="Times New Roman" w:cs="Times New Roman"/>
              </w:rPr>
              <w:t>2</w:t>
            </w:r>
            <w:r w:rsidR="00E409C9">
              <w:rPr>
                <w:rFonts w:ascii="Times New Roman" w:hAnsi="Times New Roman" w:cs="Times New Roman"/>
              </w:rPr>
              <w:t>7</w:t>
            </w:r>
            <w:r>
              <w:rPr>
                <w:rFonts w:ascii="Times New Roman" w:hAnsi="Times New Roman" w:cs="Times New Roman"/>
              </w:rPr>
              <w:t>,000</w:t>
            </w:r>
          </w:p>
          <w:p w14:paraId="5ECD7903" w14:textId="77777777" w:rsidR="00035E42" w:rsidRDefault="00035E42" w:rsidP="00CF7BBB">
            <w:pPr>
              <w:jc w:val="center"/>
              <w:rPr>
                <w:rFonts w:ascii="Times New Roman" w:hAnsi="Times New Roman" w:cs="Times New Roman"/>
              </w:rPr>
            </w:pPr>
          </w:p>
          <w:p w14:paraId="524F099D" w14:textId="77777777" w:rsidR="00035E42" w:rsidRDefault="00035E42" w:rsidP="00CF7BBB">
            <w:pPr>
              <w:jc w:val="center"/>
              <w:rPr>
                <w:rFonts w:ascii="Times New Roman" w:hAnsi="Times New Roman" w:cs="Times New Roman"/>
              </w:rPr>
            </w:pPr>
          </w:p>
          <w:p w14:paraId="6B5B341D" w14:textId="77777777" w:rsidR="00035E42" w:rsidRDefault="00035E42" w:rsidP="00CF7BBB">
            <w:pPr>
              <w:jc w:val="center"/>
              <w:rPr>
                <w:rFonts w:ascii="Times New Roman" w:hAnsi="Times New Roman" w:cs="Times New Roman"/>
              </w:rPr>
            </w:pPr>
          </w:p>
          <w:p w14:paraId="7D4A90D5" w14:textId="3D30A99F" w:rsidR="00035E42" w:rsidRPr="006312FA" w:rsidRDefault="00035E42" w:rsidP="00CF7BBB">
            <w:pPr>
              <w:jc w:val="center"/>
              <w:rPr>
                <w:rFonts w:ascii="Times New Roman" w:hAnsi="Times New Roman" w:cs="Times New Roman"/>
              </w:rPr>
            </w:pPr>
          </w:p>
        </w:tc>
      </w:tr>
      <w:tr w:rsidR="008475CB" w:rsidRPr="006312FA" w14:paraId="459484C8" w14:textId="30A33EE1" w:rsidTr="00D72033">
        <w:tc>
          <w:tcPr>
            <w:tcW w:w="2122" w:type="dxa"/>
            <w:shd w:val="clear" w:color="auto" w:fill="D9D9D9" w:themeFill="background1" w:themeFillShade="D9"/>
            <w:vAlign w:val="center"/>
          </w:tcPr>
          <w:p w14:paraId="53128261" w14:textId="77777777" w:rsidR="008475CB" w:rsidRPr="006312FA" w:rsidRDefault="008475CB" w:rsidP="00D72033">
            <w:pPr>
              <w:rPr>
                <w:rFonts w:ascii="Times New Roman" w:hAnsi="Times New Roman" w:cs="Times New Roman"/>
                <w:b/>
                <w:bCs/>
              </w:rPr>
            </w:pPr>
          </w:p>
          <w:p w14:paraId="6EE662CA" w14:textId="417EDD0F" w:rsidR="008475CB" w:rsidRPr="006312FA" w:rsidRDefault="008475CB" w:rsidP="00D72033">
            <w:pPr>
              <w:rPr>
                <w:rFonts w:ascii="Times New Roman" w:hAnsi="Times New Roman" w:cs="Times New Roman"/>
                <w:b/>
                <w:bCs/>
              </w:rPr>
            </w:pPr>
            <w:r w:rsidRPr="006312FA">
              <w:rPr>
                <w:rFonts w:ascii="Times New Roman" w:hAnsi="Times New Roman" w:cs="Times New Roman"/>
                <w:b/>
                <w:bCs/>
              </w:rPr>
              <w:t>On-the-job training</w:t>
            </w:r>
            <w:r w:rsidR="00193C8A">
              <w:rPr>
                <w:rFonts w:ascii="Times New Roman" w:hAnsi="Times New Roman" w:cs="Times New Roman"/>
                <w:b/>
                <w:bCs/>
              </w:rPr>
              <w:t xml:space="preserve"> for Trainers</w:t>
            </w:r>
            <w:r w:rsidRPr="006312FA">
              <w:rPr>
                <w:rFonts w:ascii="Times New Roman" w:hAnsi="Times New Roman" w:cs="Times New Roman"/>
                <w:b/>
                <w:bCs/>
              </w:rPr>
              <w:t xml:space="preserve"> </w:t>
            </w:r>
            <w:r w:rsidR="00193C8A">
              <w:rPr>
                <w:rFonts w:ascii="Times New Roman" w:hAnsi="Times New Roman" w:cs="Times New Roman"/>
                <w:b/>
                <w:bCs/>
              </w:rPr>
              <w:t>(</w:t>
            </w:r>
            <w:proofErr w:type="spellStart"/>
            <w:r w:rsidR="00193C8A">
              <w:rPr>
                <w:rFonts w:ascii="Times New Roman" w:hAnsi="Times New Roman" w:cs="Times New Roman"/>
                <w:b/>
                <w:bCs/>
              </w:rPr>
              <w:t>ToT</w:t>
            </w:r>
            <w:proofErr w:type="spellEnd"/>
            <w:r w:rsidR="00193C8A">
              <w:rPr>
                <w:rFonts w:ascii="Times New Roman" w:hAnsi="Times New Roman" w:cs="Times New Roman"/>
                <w:b/>
                <w:bCs/>
              </w:rPr>
              <w:t>)</w:t>
            </w:r>
          </w:p>
        </w:tc>
        <w:tc>
          <w:tcPr>
            <w:tcW w:w="5811" w:type="dxa"/>
          </w:tcPr>
          <w:p w14:paraId="62486C05" w14:textId="77777777" w:rsidR="008475CB" w:rsidRPr="006312FA" w:rsidRDefault="008475CB" w:rsidP="00DC39C6">
            <w:pPr>
              <w:jc w:val="both"/>
              <w:rPr>
                <w:rFonts w:ascii="Times New Roman" w:hAnsi="Times New Roman" w:cs="Times New Roman"/>
              </w:rPr>
            </w:pPr>
          </w:p>
          <w:p w14:paraId="4101652C" w14:textId="01EE409E" w:rsidR="008475CB" w:rsidRPr="006312FA" w:rsidRDefault="008475CB" w:rsidP="00226272">
            <w:pPr>
              <w:jc w:val="both"/>
              <w:rPr>
                <w:rFonts w:ascii="Times New Roman" w:hAnsi="Times New Roman" w:cs="Times New Roman"/>
                <w:lang w:val="bs-Latn-BA"/>
              </w:rPr>
            </w:pPr>
            <w:r>
              <w:rPr>
                <w:rFonts w:ascii="Times New Roman" w:hAnsi="Times New Roman" w:cs="Times New Roman"/>
                <w:lang w:val="bs-Latn-BA"/>
              </w:rPr>
              <w:t>A</w:t>
            </w:r>
            <w:r w:rsidRPr="4B5827C5">
              <w:rPr>
                <w:rFonts w:ascii="Times New Roman" w:hAnsi="Times New Roman" w:cs="Times New Roman"/>
                <w:lang w:val="bs-Latn-BA"/>
              </w:rPr>
              <w:t xml:space="preserve">n on-the-job training for the </w:t>
            </w:r>
            <w:r w:rsidR="00193C8A">
              <w:rPr>
                <w:rFonts w:ascii="Times New Roman" w:hAnsi="Times New Roman" w:cs="Times New Roman"/>
                <w:lang w:val="bs-Latn-BA"/>
              </w:rPr>
              <w:t xml:space="preserve">potential trainers from the </w:t>
            </w:r>
            <w:r w:rsidRPr="4B5827C5">
              <w:rPr>
                <w:rFonts w:ascii="Times New Roman" w:hAnsi="Times New Roman" w:cs="Times New Roman"/>
                <w:lang w:val="bs-Latn-BA"/>
              </w:rPr>
              <w:t xml:space="preserve">staff </w:t>
            </w:r>
            <w:r>
              <w:rPr>
                <w:rFonts w:ascii="Times New Roman" w:hAnsi="Times New Roman" w:cs="Times New Roman"/>
                <w:lang w:val="bs-Latn-BA"/>
              </w:rPr>
              <w:t xml:space="preserve">of financial institutions </w:t>
            </w:r>
            <w:r w:rsidRPr="4B5827C5">
              <w:rPr>
                <w:rFonts w:ascii="Times New Roman" w:hAnsi="Times New Roman" w:cs="Times New Roman"/>
                <w:lang w:val="bs-Latn-BA"/>
              </w:rPr>
              <w:t xml:space="preserve">and legislative stakeholders from Djibouti will be organized. </w:t>
            </w:r>
          </w:p>
          <w:p w14:paraId="3276B0F7" w14:textId="4A60CA76" w:rsidR="008475CB" w:rsidRDefault="008475CB" w:rsidP="005205DD">
            <w:pPr>
              <w:jc w:val="both"/>
              <w:rPr>
                <w:rFonts w:ascii="Times New Roman" w:hAnsi="Times New Roman" w:cs="Times New Roman"/>
                <w:lang w:val="bs-Latn-BA"/>
              </w:rPr>
            </w:pPr>
            <w:r>
              <w:rPr>
                <w:rFonts w:ascii="Times New Roman" w:hAnsi="Times New Roman" w:cs="Times New Roman"/>
              </w:rPr>
              <w:t xml:space="preserve">Within the on-the-job training, the participants will spend </w:t>
            </w:r>
            <w:r w:rsidR="009F1A1C">
              <w:rPr>
                <w:rFonts w:ascii="Times New Roman" w:hAnsi="Times New Roman" w:cs="Times New Roman"/>
              </w:rPr>
              <w:t xml:space="preserve">10 days </w:t>
            </w:r>
            <w:r>
              <w:rPr>
                <w:rFonts w:ascii="Times New Roman" w:hAnsi="Times New Roman" w:cs="Times New Roman"/>
              </w:rPr>
              <w:t xml:space="preserve">in a participation bank and will explore and learn through informal interaction and discussion with experts in </w:t>
            </w:r>
            <w:r>
              <w:rPr>
                <w:rFonts w:ascii="Times New Roman" w:hAnsi="Times New Roman" w:cs="Times New Roman"/>
              </w:rPr>
              <w:lastRenderedPageBreak/>
              <w:t xml:space="preserve">relevant departments of the participation bank. The training aims to ensure </w:t>
            </w:r>
            <w:r w:rsidRPr="4B5827C5">
              <w:rPr>
                <w:rFonts w:ascii="Times New Roman" w:hAnsi="Times New Roman" w:cs="Times New Roman"/>
                <w:lang w:val="bs-Latn-BA"/>
              </w:rPr>
              <w:t xml:space="preserve">efficient transfer of </w:t>
            </w:r>
            <w:r w:rsidRPr="4B5827C5">
              <w:rPr>
                <w:rFonts w:ascii="Times New Roman" w:hAnsi="Times New Roman" w:cs="Times New Roman"/>
              </w:rPr>
              <w:t>specific know-how</w:t>
            </w:r>
            <w:r>
              <w:rPr>
                <w:rFonts w:ascii="Times New Roman" w:hAnsi="Times New Roman" w:cs="Times New Roman"/>
              </w:rPr>
              <w:t xml:space="preserve"> and a</w:t>
            </w:r>
            <w:r w:rsidRPr="4B5827C5">
              <w:rPr>
                <w:rFonts w:ascii="Times New Roman" w:hAnsi="Times New Roman" w:cs="Times New Roman"/>
              </w:rPr>
              <w:t>llow the participants from Djibouti to see and experience the Islamic micro</w:t>
            </w:r>
            <w:r>
              <w:rPr>
                <w:rFonts w:ascii="Times New Roman" w:hAnsi="Times New Roman" w:cs="Times New Roman"/>
              </w:rPr>
              <w:t xml:space="preserve"> and SME financing </w:t>
            </w:r>
            <w:r w:rsidRPr="4B5827C5">
              <w:rPr>
                <w:rFonts w:ascii="Times New Roman" w:hAnsi="Times New Roman" w:cs="Times New Roman"/>
              </w:rPr>
              <w:t>modus operandi firsthand</w:t>
            </w:r>
            <w:r w:rsidR="00193C8A">
              <w:rPr>
                <w:rFonts w:ascii="Times New Roman" w:hAnsi="Times New Roman" w:cs="Times New Roman"/>
              </w:rPr>
              <w:t xml:space="preserve"> so they can become trainers to train others in Djibouti</w:t>
            </w:r>
            <w:r w:rsidRPr="4B5827C5">
              <w:rPr>
                <w:rFonts w:ascii="Times New Roman" w:hAnsi="Times New Roman" w:cs="Times New Roman"/>
                <w:lang w:val="bs-Latn-BA"/>
              </w:rPr>
              <w:t xml:space="preserve">. </w:t>
            </w:r>
          </w:p>
          <w:p w14:paraId="4B99056E" w14:textId="3ECBB1E8" w:rsidR="008475CB" w:rsidRPr="002A4C2A" w:rsidRDefault="008475CB" w:rsidP="00226272">
            <w:pPr>
              <w:jc w:val="both"/>
              <w:rPr>
                <w:rFonts w:ascii="Times New Roman" w:hAnsi="Times New Roman" w:cs="Times New Roman"/>
              </w:rPr>
            </w:pPr>
            <w:r>
              <w:rPr>
                <w:rFonts w:ascii="Times New Roman" w:hAnsi="Times New Roman" w:cs="Times New Roman"/>
              </w:rPr>
              <w:t xml:space="preserve"> </w:t>
            </w:r>
          </w:p>
          <w:p w14:paraId="64F53557" w14:textId="77777777" w:rsidR="008475CB" w:rsidRDefault="008475CB" w:rsidP="00226272">
            <w:pPr>
              <w:jc w:val="both"/>
              <w:rPr>
                <w:rFonts w:ascii="Times New Roman" w:hAnsi="Times New Roman" w:cs="Times New Roman"/>
                <w:lang w:val="bs-Latn-BA"/>
              </w:rPr>
            </w:pPr>
            <w:r>
              <w:rPr>
                <w:rFonts w:ascii="Times New Roman" w:hAnsi="Times New Roman" w:cs="Times New Roman"/>
                <w:lang w:val="bs-Latn-BA"/>
              </w:rPr>
              <w:t>Target participants:</w:t>
            </w:r>
          </w:p>
          <w:p w14:paraId="4BD8C006" w14:textId="3BC1B1C5" w:rsidR="008475CB" w:rsidRDefault="008475CB" w:rsidP="006312FA">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On-the-job training would include a small group of participants</w:t>
            </w:r>
            <w:r w:rsidR="00F1478D">
              <w:rPr>
                <w:rFonts w:ascii="Times New Roman" w:hAnsi="Times New Roman" w:cs="Times New Roman"/>
              </w:rPr>
              <w:t xml:space="preserve"> (5 people)</w:t>
            </w:r>
            <w:r>
              <w:rPr>
                <w:rFonts w:ascii="Times New Roman" w:hAnsi="Times New Roman" w:cs="Times New Roman"/>
              </w:rPr>
              <w:t xml:space="preserve">, namely several staff members from Islamic banks in Djibouti and a member from the legislative side responsible for Islamic finance and microfinance.  </w:t>
            </w:r>
          </w:p>
          <w:p w14:paraId="1299C43A" w14:textId="77777777" w:rsidR="008475CB" w:rsidRPr="006312FA" w:rsidRDefault="008475CB" w:rsidP="002A4C2A">
            <w:pPr>
              <w:pStyle w:val="ListParagraph"/>
              <w:spacing w:after="0" w:line="240" w:lineRule="auto"/>
              <w:jc w:val="both"/>
              <w:rPr>
                <w:rFonts w:ascii="Times New Roman" w:hAnsi="Times New Roman" w:cs="Times New Roman"/>
              </w:rPr>
            </w:pPr>
          </w:p>
        </w:tc>
        <w:tc>
          <w:tcPr>
            <w:tcW w:w="1843" w:type="dxa"/>
            <w:vAlign w:val="center"/>
          </w:tcPr>
          <w:p w14:paraId="01B00F31" w14:textId="585EE0DB" w:rsidR="008475CB" w:rsidRPr="006312FA" w:rsidRDefault="00797E70" w:rsidP="00797E70">
            <w:pPr>
              <w:jc w:val="center"/>
              <w:rPr>
                <w:rFonts w:ascii="Times New Roman" w:hAnsi="Times New Roman" w:cs="Times New Roman"/>
              </w:rPr>
            </w:pPr>
            <w:r>
              <w:rPr>
                <w:rFonts w:ascii="Times New Roman" w:hAnsi="Times New Roman" w:cs="Times New Roman"/>
              </w:rPr>
              <w:lastRenderedPageBreak/>
              <w:t>4</w:t>
            </w:r>
            <w:r w:rsidR="00E409C9">
              <w:rPr>
                <w:rFonts w:ascii="Times New Roman" w:hAnsi="Times New Roman" w:cs="Times New Roman"/>
              </w:rPr>
              <w:t>3</w:t>
            </w:r>
            <w:r>
              <w:rPr>
                <w:rFonts w:ascii="Times New Roman" w:hAnsi="Times New Roman" w:cs="Times New Roman"/>
              </w:rPr>
              <w:t>,</w:t>
            </w:r>
            <w:r w:rsidR="00E409C9">
              <w:rPr>
                <w:rFonts w:ascii="Times New Roman" w:hAnsi="Times New Roman" w:cs="Times New Roman"/>
              </w:rPr>
              <w:t>2</w:t>
            </w:r>
            <w:r>
              <w:rPr>
                <w:rFonts w:ascii="Times New Roman" w:hAnsi="Times New Roman" w:cs="Times New Roman"/>
              </w:rPr>
              <w:t>00</w:t>
            </w:r>
          </w:p>
        </w:tc>
      </w:tr>
      <w:tr w:rsidR="008A24A3" w:rsidRPr="006312FA" w14:paraId="525F366B" w14:textId="77777777" w:rsidTr="00D72033">
        <w:tc>
          <w:tcPr>
            <w:tcW w:w="7933" w:type="dxa"/>
            <w:gridSpan w:val="2"/>
            <w:shd w:val="clear" w:color="auto" w:fill="D9D9D9" w:themeFill="background1" w:themeFillShade="D9"/>
            <w:vAlign w:val="center"/>
          </w:tcPr>
          <w:p w14:paraId="73BA4FE4" w14:textId="4F9F5DEF" w:rsidR="008A24A3" w:rsidRPr="000571E6" w:rsidRDefault="001B57F8" w:rsidP="008A24A3">
            <w:pPr>
              <w:jc w:val="right"/>
              <w:rPr>
                <w:rFonts w:ascii="Times New Roman" w:hAnsi="Times New Roman" w:cs="Times New Roman"/>
                <w:b/>
                <w:bCs/>
                <w:lang w:val="en-GB"/>
              </w:rPr>
            </w:pPr>
            <w:r>
              <w:rPr>
                <w:rFonts w:ascii="Times New Roman" w:hAnsi="Times New Roman" w:cs="Times New Roman"/>
                <w:b/>
                <w:bCs/>
                <w:lang w:val="en-GB"/>
              </w:rPr>
              <w:t xml:space="preserve">PHASE II </w:t>
            </w:r>
            <w:r w:rsidR="008A24A3" w:rsidRPr="000571E6">
              <w:rPr>
                <w:rFonts w:ascii="Times New Roman" w:hAnsi="Times New Roman" w:cs="Times New Roman"/>
                <w:b/>
                <w:bCs/>
                <w:lang w:val="en-GB"/>
              </w:rPr>
              <w:t>TOTAL</w:t>
            </w:r>
            <w:r w:rsidR="00E409C9">
              <w:rPr>
                <w:rStyle w:val="FootnoteReference"/>
                <w:rFonts w:ascii="Times New Roman" w:hAnsi="Times New Roman" w:cs="Times New Roman"/>
                <w:b/>
                <w:bCs/>
                <w:lang w:val="en-GB"/>
              </w:rPr>
              <w:footnoteReference w:id="5"/>
            </w:r>
          </w:p>
        </w:tc>
        <w:tc>
          <w:tcPr>
            <w:tcW w:w="1843" w:type="dxa"/>
            <w:shd w:val="clear" w:color="auto" w:fill="D9D9D9" w:themeFill="background1" w:themeFillShade="D9"/>
            <w:vAlign w:val="center"/>
          </w:tcPr>
          <w:p w14:paraId="4D97C4A1" w14:textId="4C5B0B89" w:rsidR="008A24A3" w:rsidRDefault="00F24399" w:rsidP="003F5FCC">
            <w:pPr>
              <w:jc w:val="center"/>
              <w:rPr>
                <w:rFonts w:ascii="Times New Roman" w:hAnsi="Times New Roman" w:cs="Times New Roman"/>
                <w:lang w:val="en-GB"/>
              </w:rPr>
            </w:pPr>
            <w:r>
              <w:rPr>
                <w:rFonts w:ascii="Times New Roman" w:hAnsi="Times New Roman" w:cs="Times New Roman"/>
                <w:lang w:val="en-GB"/>
              </w:rPr>
              <w:t>91,800</w:t>
            </w:r>
          </w:p>
        </w:tc>
      </w:tr>
    </w:tbl>
    <w:p w14:paraId="5EC1AB52" w14:textId="77777777" w:rsidR="009621AC" w:rsidRDefault="009621AC" w:rsidP="00767FB1">
      <w:pPr>
        <w:spacing w:before="120" w:after="120"/>
        <w:rPr>
          <w:rFonts w:ascii="Times New Roman" w:hAnsi="Times New Roman" w:cs="Times New Roman"/>
          <w:b/>
          <w:bCs/>
          <w:iCs/>
          <w:sz w:val="24"/>
        </w:rPr>
      </w:pPr>
    </w:p>
    <w:p w14:paraId="0AF87482" w14:textId="44FAA611" w:rsidR="00767FB1" w:rsidRDefault="00767FB1" w:rsidP="00767FB1">
      <w:pPr>
        <w:spacing w:before="120" w:after="120"/>
        <w:rPr>
          <w:rFonts w:ascii="Times New Roman" w:hAnsi="Times New Roman" w:cs="Times New Roman"/>
          <w:b/>
          <w:bCs/>
          <w:iCs/>
          <w:sz w:val="24"/>
        </w:rPr>
      </w:pPr>
      <w:r>
        <w:rPr>
          <w:rFonts w:ascii="Times New Roman" w:hAnsi="Times New Roman"/>
          <w:b/>
          <w:bCs/>
          <w:noProof/>
          <w:color w:val="1F3864"/>
          <w:sz w:val="24"/>
          <w:lang w:val="bs-Latn-BA" w:eastAsia="bs-Latn-BA"/>
        </w:rPr>
        <mc:AlternateContent>
          <mc:Choice Requires="wps">
            <w:drawing>
              <wp:anchor distT="0" distB="0" distL="114300" distR="114300" simplePos="0" relativeHeight="251671552" behindDoc="0" locked="0" layoutInCell="1" allowOverlap="1" wp14:anchorId="010263E0" wp14:editId="53BE3F12">
                <wp:simplePos x="0" y="0"/>
                <wp:positionH relativeFrom="column">
                  <wp:posOffset>-33655</wp:posOffset>
                </wp:positionH>
                <wp:positionV relativeFrom="paragraph">
                  <wp:posOffset>275590</wp:posOffset>
                </wp:positionV>
                <wp:extent cx="58007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80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1617D200"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5pt,21.7pt" to="454.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" strokecolor="black [3213]"/>
            </w:pict>
          </mc:Fallback>
        </mc:AlternateContent>
      </w:r>
      <w:r w:rsidR="004242A4" w:rsidRPr="00CB12FA">
        <w:rPr>
          <w:rFonts w:ascii="Times New Roman" w:hAnsi="Times New Roman" w:cs="Times New Roman"/>
          <w:b/>
          <w:bCs/>
          <w:iCs/>
          <w:sz w:val="24"/>
        </w:rPr>
        <w:t>Expected Outcomes</w:t>
      </w:r>
    </w:p>
    <w:p w14:paraId="2946DB82" w14:textId="77777777" w:rsidR="00767FB1" w:rsidRPr="00767FB1" w:rsidRDefault="00767FB1" w:rsidP="00767FB1">
      <w:pPr>
        <w:spacing w:before="120" w:after="120"/>
        <w:rPr>
          <w:rFonts w:ascii="Times New Roman" w:hAnsi="Times New Roman" w:cs="Times New Roman"/>
          <w:b/>
          <w:bCs/>
          <w:iCs/>
          <w:sz w:val="14"/>
        </w:rPr>
      </w:pPr>
    </w:p>
    <w:p w14:paraId="784F6CDC" w14:textId="77777777" w:rsidR="005E3C60" w:rsidRDefault="00767FB1" w:rsidP="00767FB1">
      <w:pPr>
        <w:jc w:val="both"/>
        <w:rPr>
          <w:rFonts w:ascii="Times New Roman" w:hAnsi="Times New Roman"/>
          <w:sz w:val="24"/>
          <w:lang w:val="en-GB"/>
        </w:rPr>
      </w:pPr>
      <w:r w:rsidRPr="00767FB1">
        <w:rPr>
          <w:rFonts w:ascii="Times New Roman" w:hAnsi="Times New Roman"/>
          <w:sz w:val="24"/>
          <w:lang w:val="en-GB"/>
        </w:rPr>
        <w:t xml:space="preserve">The overall expected outcome of the technical support outlined in this proposal is </w:t>
      </w:r>
      <w:r w:rsidR="00486738">
        <w:rPr>
          <w:rFonts w:ascii="Times New Roman" w:hAnsi="Times New Roman"/>
          <w:sz w:val="24"/>
          <w:lang w:val="en-GB"/>
        </w:rPr>
        <w:t>to enhance</w:t>
      </w:r>
      <w:r>
        <w:rPr>
          <w:rFonts w:ascii="Times New Roman" w:hAnsi="Times New Roman"/>
          <w:sz w:val="24"/>
          <w:lang w:val="en-GB"/>
        </w:rPr>
        <w:t xml:space="preserve"> Islamic m</w:t>
      </w:r>
      <w:r w:rsidR="002620CB" w:rsidRPr="00767FB1">
        <w:rPr>
          <w:rFonts w:ascii="Times New Roman" w:hAnsi="Times New Roman"/>
          <w:sz w:val="24"/>
          <w:lang w:val="en-GB"/>
        </w:rPr>
        <w:t>icrofinance for MSME socioeconomic recovery and resilience in Djibouti</w:t>
      </w:r>
      <w:r>
        <w:rPr>
          <w:rFonts w:ascii="Times New Roman" w:hAnsi="Times New Roman"/>
          <w:sz w:val="24"/>
          <w:lang w:val="en-GB"/>
        </w:rPr>
        <w:t xml:space="preserve">. Ensuring the recovery and resilience of the MSME sector is in turn expected to positively contribute to the SDGs </w:t>
      </w:r>
      <w:r w:rsidR="004F36DB">
        <w:rPr>
          <w:rFonts w:ascii="Times New Roman" w:hAnsi="Times New Roman"/>
          <w:sz w:val="24"/>
          <w:lang w:val="en-GB"/>
        </w:rPr>
        <w:t>realiz</w:t>
      </w:r>
      <w:r>
        <w:rPr>
          <w:rFonts w:ascii="Times New Roman" w:hAnsi="Times New Roman"/>
          <w:sz w:val="24"/>
          <w:lang w:val="en-GB"/>
        </w:rPr>
        <w:t xml:space="preserve">ation on a national level. The figure below illustrates the specific goals addressed through the provision of Islamic microfinance in Djibouti. </w:t>
      </w:r>
    </w:p>
    <w:p w14:paraId="5997CC1D" w14:textId="77777777" w:rsidR="00767FB1" w:rsidRDefault="00767FB1" w:rsidP="00767FB1">
      <w:pPr>
        <w:jc w:val="both"/>
        <w:rPr>
          <w:rFonts w:ascii="Times New Roman" w:hAnsi="Times New Roman"/>
          <w:sz w:val="24"/>
          <w:lang w:val="en-GB"/>
        </w:rPr>
      </w:pPr>
    </w:p>
    <w:tbl>
      <w:tblPr>
        <w:tblW w:w="11409" w:type="dxa"/>
        <w:tblInd w:w="-1062" w:type="dxa"/>
        <w:tblLook w:val="04A0" w:firstRow="1" w:lastRow="0" w:firstColumn="1" w:lastColumn="0" w:noHBand="0" w:noVBand="1"/>
      </w:tblPr>
      <w:tblGrid>
        <w:gridCol w:w="720"/>
        <w:gridCol w:w="686"/>
        <w:gridCol w:w="664"/>
        <w:gridCol w:w="552"/>
        <w:gridCol w:w="708"/>
        <w:gridCol w:w="675"/>
        <w:gridCol w:w="765"/>
        <w:gridCol w:w="630"/>
        <w:gridCol w:w="651"/>
        <w:gridCol w:w="768"/>
        <w:gridCol w:w="647"/>
        <w:gridCol w:w="579"/>
        <w:gridCol w:w="579"/>
        <w:gridCol w:w="579"/>
        <w:gridCol w:w="669"/>
        <w:gridCol w:w="821"/>
        <w:gridCol w:w="716"/>
      </w:tblGrid>
      <w:tr w:rsidR="00767FB1" w:rsidRPr="00767FB1" w14:paraId="110FFD37" w14:textId="77777777" w:rsidTr="4B5827C5">
        <w:trPr>
          <w:trHeight w:val="570"/>
        </w:trPr>
        <w:tc>
          <w:tcPr>
            <w:tcW w:w="11409" w:type="dxa"/>
            <w:gridSpan w:val="17"/>
            <w:tcBorders>
              <w:bottom w:val="single" w:sz="4" w:space="0" w:color="auto"/>
            </w:tcBorders>
            <w:shd w:val="clear" w:color="auto" w:fill="auto"/>
          </w:tcPr>
          <w:p w14:paraId="6B699379" w14:textId="77777777" w:rsidR="00767FB1" w:rsidRPr="00767FB1" w:rsidRDefault="00767FB1" w:rsidP="00767FB1">
            <w:pPr>
              <w:spacing w:after="0" w:line="240" w:lineRule="auto"/>
              <w:jc w:val="both"/>
              <w:rPr>
                <w:rFonts w:ascii="Times New Roman" w:eastAsia="Times New Roman" w:hAnsi="Times New Roman" w:cs="Times New Roman"/>
                <w:color w:val="000000"/>
                <w:sz w:val="24"/>
                <w:szCs w:val="24"/>
                <w:lang w:val="en-GB" w:eastAsia="cs-CZ"/>
              </w:rPr>
            </w:pPr>
            <w:r>
              <w:rPr>
                <w:noProof/>
              </w:rPr>
              <w:drawing>
                <wp:inline distT="0" distB="0" distL="0" distR="0" wp14:anchorId="20379805" wp14:editId="5297F562">
                  <wp:extent cx="7105652" cy="466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7105652" cy="466725"/>
                          </a:xfrm>
                          <a:prstGeom prst="rect">
                            <a:avLst/>
                          </a:prstGeom>
                        </pic:spPr>
                      </pic:pic>
                    </a:graphicData>
                  </a:graphic>
                </wp:inline>
              </w:drawing>
            </w:r>
          </w:p>
        </w:tc>
      </w:tr>
      <w:tr w:rsidR="00767FB1" w:rsidRPr="00767FB1" w14:paraId="3FE9F23F" w14:textId="77777777" w:rsidTr="00FD763A">
        <w:trPr>
          <w:trHeight w:val="436"/>
        </w:trPr>
        <w:tc>
          <w:tcPr>
            <w:tcW w:w="720" w:type="dxa"/>
            <w:tcBorders>
              <w:top w:val="single" w:sz="4" w:space="0" w:color="auto"/>
              <w:left w:val="single" w:sz="4" w:space="0" w:color="auto"/>
              <w:bottom w:val="single" w:sz="4" w:space="0" w:color="auto"/>
              <w:right w:val="single" w:sz="4" w:space="0" w:color="auto"/>
            </w:tcBorders>
            <w:shd w:val="clear" w:color="auto" w:fill="FF0000"/>
          </w:tcPr>
          <w:p w14:paraId="1F72F646" w14:textId="77777777" w:rsidR="00767FB1" w:rsidRPr="00767FB1" w:rsidRDefault="00767FB1" w:rsidP="00767FB1">
            <w:pPr>
              <w:spacing w:after="0" w:line="240" w:lineRule="auto"/>
              <w:jc w:val="both"/>
              <w:rPr>
                <w:rFonts w:ascii="Times New Roman" w:eastAsia="Times New Roman" w:hAnsi="Times New Roman" w:cs="Times New Roman"/>
                <w:b/>
                <w:bCs/>
                <w:color w:val="FFFFFF"/>
                <w:sz w:val="24"/>
                <w:szCs w:val="24"/>
                <w:lang w:val="en-GB" w:eastAsia="cs-CZ"/>
              </w:rPr>
            </w:pPr>
            <w:r w:rsidRPr="00767FB1">
              <w:rPr>
                <w:rFonts w:ascii="Wingdings 2" w:eastAsia="Wingdings 2" w:hAnsi="Wingdings 2" w:cs="Wingdings 2"/>
                <w:b/>
                <w:bCs/>
                <w:color w:val="FFFFFF"/>
                <w:sz w:val="24"/>
                <w:szCs w:val="24"/>
                <w:lang w:val="en-GB" w:eastAsia="cs-CZ"/>
              </w:rPr>
              <w:t>P</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08CE6F91"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664" w:type="dxa"/>
            <w:tcBorders>
              <w:top w:val="single" w:sz="4" w:space="0" w:color="auto"/>
              <w:left w:val="single" w:sz="4" w:space="0" w:color="auto"/>
              <w:bottom w:val="single" w:sz="4" w:space="0" w:color="auto"/>
              <w:right w:val="single" w:sz="4" w:space="0" w:color="auto"/>
            </w:tcBorders>
            <w:shd w:val="clear" w:color="auto" w:fill="00B050"/>
          </w:tcPr>
          <w:p w14:paraId="61CDCEAD" w14:textId="77777777" w:rsidR="00767FB1" w:rsidRPr="00767FB1" w:rsidRDefault="00767FB1" w:rsidP="00767FB1">
            <w:pPr>
              <w:spacing w:after="0" w:line="240" w:lineRule="auto"/>
              <w:jc w:val="both"/>
              <w:rPr>
                <w:rFonts w:ascii="Times New Roman" w:eastAsia="Times New Roman" w:hAnsi="Times New Roman" w:cs="Times New Roman"/>
                <w:b/>
                <w:bCs/>
                <w:color w:val="FFFFFF"/>
                <w:sz w:val="24"/>
                <w:szCs w:val="24"/>
                <w:lang w:val="en-GB" w:eastAsia="cs-CZ"/>
              </w:rPr>
            </w:pPr>
            <w:r w:rsidRPr="00767FB1">
              <w:rPr>
                <w:rFonts w:ascii="Wingdings 2" w:eastAsia="Wingdings 2" w:hAnsi="Wingdings 2" w:cs="Wingdings 2"/>
                <w:b/>
                <w:bCs/>
                <w:color w:val="FFFFFF"/>
                <w:sz w:val="24"/>
                <w:szCs w:val="24"/>
                <w:lang w:val="en-GB" w:eastAsia="cs-CZ"/>
              </w:rPr>
              <w:t>P</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6BB9E253"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708" w:type="dxa"/>
            <w:tcBorders>
              <w:top w:val="single" w:sz="4" w:space="0" w:color="auto"/>
              <w:left w:val="single" w:sz="4" w:space="0" w:color="auto"/>
              <w:bottom w:val="single" w:sz="4" w:space="0" w:color="auto"/>
              <w:right w:val="single" w:sz="4" w:space="0" w:color="auto"/>
            </w:tcBorders>
            <w:shd w:val="clear" w:color="auto" w:fill="FF3300"/>
          </w:tcPr>
          <w:p w14:paraId="23DE523C" w14:textId="03F3BDFF" w:rsidR="00767FB1" w:rsidRPr="00767FB1" w:rsidRDefault="00FD763A" w:rsidP="00767FB1">
            <w:pPr>
              <w:spacing w:after="0" w:line="240" w:lineRule="auto"/>
              <w:jc w:val="both"/>
              <w:rPr>
                <w:rFonts w:ascii="Times New Roman" w:eastAsia="Times New Roman" w:hAnsi="Times New Roman" w:cs="Times New Roman"/>
                <w:b/>
                <w:bCs/>
                <w:color w:val="000000"/>
                <w:sz w:val="24"/>
                <w:szCs w:val="24"/>
                <w:lang w:val="en-GB" w:eastAsia="cs-CZ"/>
              </w:rPr>
            </w:pPr>
            <w:r w:rsidRPr="00767FB1">
              <w:rPr>
                <w:rFonts w:ascii="Wingdings 2" w:eastAsia="Wingdings 2" w:hAnsi="Wingdings 2" w:cs="Wingdings 2"/>
                <w:b/>
                <w:bCs/>
                <w:color w:val="FFFFFF"/>
                <w:sz w:val="24"/>
                <w:szCs w:val="24"/>
                <w:lang w:val="en-GB" w:eastAsia="cs-CZ"/>
              </w:rPr>
              <w:t>P</w:t>
            </w:r>
          </w:p>
        </w:tc>
        <w:tc>
          <w:tcPr>
            <w:tcW w:w="675" w:type="dxa"/>
            <w:tcBorders>
              <w:top w:val="single" w:sz="4" w:space="0" w:color="auto"/>
              <w:left w:val="single" w:sz="4" w:space="0" w:color="auto"/>
              <w:bottom w:val="single" w:sz="4" w:space="0" w:color="auto"/>
              <w:right w:val="single" w:sz="4" w:space="0" w:color="auto"/>
            </w:tcBorders>
            <w:shd w:val="clear" w:color="auto" w:fill="auto"/>
          </w:tcPr>
          <w:p w14:paraId="52E56223"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7547A01"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630" w:type="dxa"/>
            <w:tcBorders>
              <w:top w:val="single" w:sz="4" w:space="0" w:color="auto"/>
              <w:left w:val="single" w:sz="4" w:space="0" w:color="auto"/>
              <w:bottom w:val="single" w:sz="4" w:space="0" w:color="auto"/>
              <w:right w:val="single" w:sz="4" w:space="0" w:color="auto"/>
            </w:tcBorders>
            <w:shd w:val="clear" w:color="auto" w:fill="A1270F"/>
          </w:tcPr>
          <w:p w14:paraId="5043CB0F" w14:textId="77777777" w:rsidR="00767FB1" w:rsidRPr="00767FB1" w:rsidRDefault="00767FB1" w:rsidP="00767FB1">
            <w:pPr>
              <w:spacing w:after="0" w:line="240" w:lineRule="auto"/>
              <w:jc w:val="both"/>
              <w:rPr>
                <w:rFonts w:ascii="Times New Roman" w:eastAsia="Times New Roman" w:hAnsi="Times New Roman" w:cs="Times New Roman"/>
                <w:b/>
                <w:bCs/>
                <w:color w:val="FFFFFF"/>
                <w:sz w:val="24"/>
                <w:szCs w:val="24"/>
                <w:lang w:val="en-GB" w:eastAsia="cs-CZ"/>
              </w:rPr>
            </w:pPr>
            <w:r w:rsidRPr="00767FB1">
              <w:rPr>
                <w:rFonts w:ascii="Wingdings 2" w:eastAsia="Wingdings 2" w:hAnsi="Wingdings 2" w:cs="Wingdings 2"/>
                <w:b/>
                <w:bCs/>
                <w:color w:val="FFFFFF"/>
                <w:sz w:val="24"/>
                <w:szCs w:val="24"/>
                <w:lang w:val="en-GB" w:eastAsia="cs-CZ"/>
              </w:rPr>
              <w:t>P</w:t>
            </w:r>
          </w:p>
          <w:p w14:paraId="07459315" w14:textId="77777777" w:rsidR="00767FB1" w:rsidRPr="00767FB1" w:rsidRDefault="00767FB1" w:rsidP="00767FB1">
            <w:pPr>
              <w:spacing w:after="0" w:line="240" w:lineRule="auto"/>
              <w:rPr>
                <w:rFonts w:ascii="Times New Roman" w:eastAsia="Times New Roman" w:hAnsi="Times New Roman" w:cs="Times New Roman"/>
                <w:sz w:val="24"/>
                <w:szCs w:val="24"/>
                <w:lang w:val="en-GB" w:eastAsia="cs-CZ"/>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14:paraId="6537F28F"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768" w:type="dxa"/>
            <w:tcBorders>
              <w:top w:val="single" w:sz="4" w:space="0" w:color="auto"/>
              <w:left w:val="single" w:sz="4" w:space="0" w:color="auto"/>
              <w:bottom w:val="single" w:sz="4" w:space="0" w:color="auto"/>
              <w:right w:val="single" w:sz="4" w:space="0" w:color="auto"/>
            </w:tcBorders>
            <w:shd w:val="clear" w:color="auto" w:fill="E91DFF"/>
          </w:tcPr>
          <w:p w14:paraId="6DFB9E20" w14:textId="77777777" w:rsidR="00767FB1" w:rsidRPr="00767FB1" w:rsidRDefault="00767FB1" w:rsidP="00767FB1">
            <w:pPr>
              <w:spacing w:after="0" w:line="240" w:lineRule="auto"/>
              <w:jc w:val="both"/>
              <w:rPr>
                <w:rFonts w:ascii="Times New Roman" w:eastAsia="Times New Roman" w:hAnsi="Times New Roman" w:cs="Times New Roman"/>
                <w:b/>
                <w:bCs/>
                <w:color w:val="FFFFFF"/>
                <w:sz w:val="24"/>
                <w:szCs w:val="24"/>
                <w:lang w:val="en-GB" w:eastAsia="cs-CZ"/>
              </w:rPr>
            </w:pPr>
            <w:r w:rsidRPr="00767FB1">
              <w:rPr>
                <w:rFonts w:ascii="Wingdings 2" w:eastAsia="Wingdings 2" w:hAnsi="Wingdings 2" w:cs="Wingdings 2"/>
                <w:b/>
                <w:bCs/>
                <w:color w:val="FFFFFF"/>
                <w:sz w:val="24"/>
                <w:szCs w:val="24"/>
                <w:lang w:val="en-GB" w:eastAsia="cs-CZ"/>
              </w:rPr>
              <w:t>P</w:t>
            </w:r>
          </w:p>
          <w:p w14:paraId="70DF9E56" w14:textId="77777777" w:rsidR="00767FB1" w:rsidRPr="00767FB1" w:rsidRDefault="00767FB1" w:rsidP="00767FB1">
            <w:pPr>
              <w:spacing w:after="0" w:line="240" w:lineRule="auto"/>
              <w:rPr>
                <w:rFonts w:ascii="Times New Roman" w:eastAsia="Times New Roman" w:hAnsi="Times New Roman" w:cs="Times New Roman"/>
                <w:sz w:val="24"/>
                <w:szCs w:val="24"/>
                <w:lang w:val="en-GB" w:eastAsia="cs-CZ"/>
              </w:rPr>
            </w:pPr>
          </w:p>
        </w:tc>
        <w:tc>
          <w:tcPr>
            <w:tcW w:w="647" w:type="dxa"/>
            <w:tcBorders>
              <w:top w:val="single" w:sz="4" w:space="0" w:color="auto"/>
              <w:left w:val="single" w:sz="4" w:space="0" w:color="auto"/>
              <w:bottom w:val="single" w:sz="4" w:space="0" w:color="auto"/>
              <w:right w:val="single" w:sz="4" w:space="0" w:color="auto"/>
            </w:tcBorders>
            <w:shd w:val="clear" w:color="auto" w:fill="auto"/>
          </w:tcPr>
          <w:p w14:paraId="44E871BC"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579" w:type="dxa"/>
            <w:tcBorders>
              <w:top w:val="single" w:sz="4" w:space="0" w:color="auto"/>
              <w:left w:val="single" w:sz="4" w:space="0" w:color="auto"/>
              <w:bottom w:val="single" w:sz="4" w:space="0" w:color="auto"/>
              <w:right w:val="single" w:sz="4" w:space="0" w:color="auto"/>
            </w:tcBorders>
            <w:shd w:val="clear" w:color="auto" w:fill="auto"/>
          </w:tcPr>
          <w:p w14:paraId="144A5D23"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579" w:type="dxa"/>
            <w:tcBorders>
              <w:top w:val="single" w:sz="4" w:space="0" w:color="auto"/>
              <w:left w:val="single" w:sz="4" w:space="0" w:color="auto"/>
              <w:bottom w:val="single" w:sz="4" w:space="0" w:color="auto"/>
              <w:right w:val="single" w:sz="4" w:space="0" w:color="auto"/>
            </w:tcBorders>
            <w:shd w:val="clear" w:color="auto" w:fill="auto"/>
          </w:tcPr>
          <w:p w14:paraId="738610EB"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579" w:type="dxa"/>
            <w:tcBorders>
              <w:top w:val="single" w:sz="4" w:space="0" w:color="auto"/>
              <w:left w:val="single" w:sz="4" w:space="0" w:color="auto"/>
              <w:bottom w:val="single" w:sz="4" w:space="0" w:color="auto"/>
              <w:right w:val="single" w:sz="4" w:space="0" w:color="auto"/>
            </w:tcBorders>
            <w:shd w:val="clear" w:color="auto" w:fill="auto"/>
          </w:tcPr>
          <w:p w14:paraId="637805D2"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669" w:type="dxa"/>
            <w:tcBorders>
              <w:top w:val="single" w:sz="4" w:space="0" w:color="auto"/>
              <w:left w:val="single" w:sz="4" w:space="0" w:color="auto"/>
              <w:bottom w:val="single" w:sz="4" w:space="0" w:color="auto"/>
              <w:right w:val="single" w:sz="4" w:space="0" w:color="auto"/>
            </w:tcBorders>
            <w:shd w:val="clear" w:color="auto" w:fill="auto"/>
          </w:tcPr>
          <w:p w14:paraId="463F29E8" w14:textId="77777777" w:rsidR="00767FB1" w:rsidRPr="00767FB1" w:rsidRDefault="00767FB1" w:rsidP="00767FB1">
            <w:pPr>
              <w:spacing w:after="0" w:line="240" w:lineRule="auto"/>
              <w:jc w:val="both"/>
              <w:rPr>
                <w:rFonts w:ascii="Times New Roman" w:eastAsia="Times New Roman" w:hAnsi="Times New Roman" w:cs="Times New Roman"/>
                <w:b/>
                <w:bCs/>
                <w:color w:val="000000"/>
                <w:sz w:val="24"/>
                <w:szCs w:val="24"/>
                <w:lang w:val="en-GB" w:eastAsia="cs-CZ"/>
              </w:rPr>
            </w:pPr>
          </w:p>
        </w:tc>
        <w:tc>
          <w:tcPr>
            <w:tcW w:w="821" w:type="dxa"/>
            <w:tcBorders>
              <w:top w:val="single" w:sz="4" w:space="0" w:color="auto"/>
              <w:left w:val="single" w:sz="4" w:space="0" w:color="auto"/>
              <w:bottom w:val="single" w:sz="4" w:space="0" w:color="auto"/>
              <w:right w:val="single" w:sz="4" w:space="0" w:color="auto"/>
            </w:tcBorders>
            <w:shd w:val="clear" w:color="auto" w:fill="2F5496"/>
          </w:tcPr>
          <w:p w14:paraId="3B7B4B86" w14:textId="77777777" w:rsidR="00767FB1" w:rsidRPr="00767FB1" w:rsidRDefault="00767FB1" w:rsidP="00767FB1">
            <w:pPr>
              <w:spacing w:after="0" w:line="240" w:lineRule="auto"/>
              <w:jc w:val="both"/>
              <w:rPr>
                <w:rFonts w:ascii="Times New Roman" w:eastAsia="Times New Roman" w:hAnsi="Times New Roman" w:cs="Times New Roman"/>
                <w:b/>
                <w:bCs/>
                <w:color w:val="FFFFFF"/>
                <w:sz w:val="24"/>
                <w:szCs w:val="24"/>
                <w:lang w:val="en-GB" w:eastAsia="cs-CZ"/>
              </w:rPr>
            </w:pPr>
            <w:r w:rsidRPr="00767FB1">
              <w:rPr>
                <w:rFonts w:ascii="Wingdings 2" w:eastAsia="Wingdings 2" w:hAnsi="Wingdings 2" w:cs="Wingdings 2"/>
                <w:b/>
                <w:bCs/>
                <w:color w:val="FFFFFF"/>
                <w:sz w:val="24"/>
                <w:szCs w:val="24"/>
                <w:lang w:val="en-GB" w:eastAsia="cs-CZ"/>
              </w:rPr>
              <w:t>P</w:t>
            </w:r>
          </w:p>
        </w:tc>
        <w:tc>
          <w:tcPr>
            <w:tcW w:w="716" w:type="dxa"/>
            <w:tcBorders>
              <w:top w:val="single" w:sz="4" w:space="0" w:color="auto"/>
              <w:left w:val="single" w:sz="4" w:space="0" w:color="auto"/>
              <w:bottom w:val="single" w:sz="4" w:space="0" w:color="auto"/>
              <w:right w:val="single" w:sz="4" w:space="0" w:color="auto"/>
            </w:tcBorders>
            <w:shd w:val="clear" w:color="auto" w:fill="1F3864"/>
          </w:tcPr>
          <w:p w14:paraId="3A0FF5F2" w14:textId="77777777" w:rsidR="00767FB1" w:rsidRPr="00767FB1" w:rsidRDefault="00767FB1" w:rsidP="00767FB1">
            <w:pPr>
              <w:spacing w:after="0" w:line="240" w:lineRule="auto"/>
              <w:jc w:val="both"/>
              <w:rPr>
                <w:rFonts w:ascii="Times New Roman" w:eastAsia="Times New Roman" w:hAnsi="Times New Roman" w:cs="Times New Roman"/>
                <w:b/>
                <w:bCs/>
                <w:color w:val="FFFFFF"/>
                <w:sz w:val="24"/>
                <w:szCs w:val="24"/>
                <w:lang w:val="en-GB" w:eastAsia="cs-CZ"/>
              </w:rPr>
            </w:pPr>
            <w:r w:rsidRPr="00767FB1">
              <w:rPr>
                <w:rFonts w:ascii="Wingdings 2" w:eastAsia="Wingdings 2" w:hAnsi="Wingdings 2" w:cs="Wingdings 2"/>
                <w:b/>
                <w:bCs/>
                <w:color w:val="FFFFFF"/>
                <w:sz w:val="24"/>
                <w:szCs w:val="24"/>
                <w:lang w:val="en-GB" w:eastAsia="cs-CZ"/>
              </w:rPr>
              <w:t>P</w:t>
            </w:r>
          </w:p>
        </w:tc>
      </w:tr>
    </w:tbl>
    <w:p w14:paraId="5630AD66" w14:textId="77777777" w:rsidR="00767FB1" w:rsidRPr="00767FB1" w:rsidRDefault="00767FB1" w:rsidP="00767FB1">
      <w:pPr>
        <w:jc w:val="both"/>
        <w:rPr>
          <w:rFonts w:ascii="Times New Roman" w:hAnsi="Times New Roman"/>
          <w:sz w:val="24"/>
          <w:lang w:val="en-GB"/>
        </w:rPr>
      </w:pPr>
    </w:p>
    <w:p w14:paraId="61829076" w14:textId="77777777" w:rsidR="005E3C60" w:rsidRPr="002620CB" w:rsidRDefault="005E3C60" w:rsidP="002620CB">
      <w:pPr>
        <w:jc w:val="both"/>
        <w:rPr>
          <w:rFonts w:ascii="Times New Roman" w:hAnsi="Times New Roman"/>
          <w:color w:val="000000"/>
          <w:sz w:val="24"/>
          <w:lang w:val="en-GB"/>
        </w:rPr>
      </w:pPr>
    </w:p>
    <w:p w14:paraId="2BA226A1" w14:textId="77777777" w:rsidR="00455AC9" w:rsidRDefault="00455AC9"/>
    <w:sectPr w:rsidR="00455AC9">
      <w:footerReference w:type="even"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FA36" w16cex:dateUtc="2020-11-12T05:03:00Z"/>
  <w16cex:commentExtensible w16cex:durableId="2356F858" w16cex:dateUtc="2020-11-12T0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C00EA" w14:textId="77777777" w:rsidR="00B22A4A" w:rsidRDefault="00B22A4A" w:rsidP="00455AC9">
      <w:pPr>
        <w:spacing w:after="0" w:line="240" w:lineRule="auto"/>
      </w:pPr>
      <w:r>
        <w:separator/>
      </w:r>
    </w:p>
  </w:endnote>
  <w:endnote w:type="continuationSeparator" w:id="0">
    <w:p w14:paraId="50566A17" w14:textId="77777777" w:rsidR="00B22A4A" w:rsidRDefault="00B22A4A" w:rsidP="0045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3152301"/>
      <w:docPartObj>
        <w:docPartGallery w:val="Page Numbers (Bottom of Page)"/>
        <w:docPartUnique/>
      </w:docPartObj>
    </w:sdtPr>
    <w:sdtEndPr>
      <w:rPr>
        <w:rStyle w:val="PageNumber"/>
      </w:rPr>
    </w:sdtEndPr>
    <w:sdtContent>
      <w:p w14:paraId="5749DF31" w14:textId="64473132" w:rsidR="009064B4" w:rsidRDefault="009064B4" w:rsidP="00221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68F2">
          <w:rPr>
            <w:rStyle w:val="PageNumber"/>
            <w:noProof/>
          </w:rPr>
          <w:t>1</w:t>
        </w:r>
        <w:r>
          <w:rPr>
            <w:rStyle w:val="PageNumber"/>
          </w:rPr>
          <w:fldChar w:fldCharType="end"/>
        </w:r>
      </w:p>
    </w:sdtContent>
  </w:sdt>
  <w:p w14:paraId="10102AE2" w14:textId="77777777" w:rsidR="009064B4" w:rsidRDefault="009064B4" w:rsidP="00E168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7337656"/>
      <w:docPartObj>
        <w:docPartGallery w:val="Page Numbers (Bottom of Page)"/>
        <w:docPartUnique/>
      </w:docPartObj>
    </w:sdtPr>
    <w:sdtEndPr>
      <w:rPr>
        <w:rStyle w:val="PageNumber"/>
      </w:rPr>
    </w:sdtEndPr>
    <w:sdtContent>
      <w:p w14:paraId="0808F428" w14:textId="642378F3" w:rsidR="009064B4" w:rsidRDefault="009064B4" w:rsidP="00221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CB718" w14:textId="77777777" w:rsidR="009064B4" w:rsidRDefault="009064B4" w:rsidP="00E168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BB242" w14:textId="77777777" w:rsidR="00B22A4A" w:rsidRDefault="00B22A4A" w:rsidP="00455AC9">
      <w:pPr>
        <w:spacing w:after="0" w:line="240" w:lineRule="auto"/>
      </w:pPr>
      <w:r>
        <w:separator/>
      </w:r>
    </w:p>
  </w:footnote>
  <w:footnote w:type="continuationSeparator" w:id="0">
    <w:p w14:paraId="7029121A" w14:textId="77777777" w:rsidR="00B22A4A" w:rsidRDefault="00B22A4A" w:rsidP="00455AC9">
      <w:pPr>
        <w:spacing w:after="0" w:line="240" w:lineRule="auto"/>
      </w:pPr>
      <w:r>
        <w:continuationSeparator/>
      </w:r>
    </w:p>
  </w:footnote>
  <w:footnote w:id="1">
    <w:p w14:paraId="33E0D961" w14:textId="77777777" w:rsidR="00455AC9" w:rsidRDefault="00455AC9" w:rsidP="00455AC9">
      <w:pPr>
        <w:rPr>
          <w:rFonts w:ascii="Times New Roman" w:hAnsi="Times New Roman"/>
          <w:szCs w:val="20"/>
        </w:rPr>
      </w:pPr>
      <w:r>
        <w:rPr>
          <w:rStyle w:val="FootnoteReference"/>
          <w:rFonts w:ascii="Times New Roman" w:hAnsi="Times New Roman"/>
          <w:szCs w:val="20"/>
        </w:rPr>
        <w:footnoteRef/>
      </w:r>
      <w:r>
        <w:rPr>
          <w:rFonts w:ascii="Times New Roman" w:hAnsi="Times New Roman"/>
          <w:szCs w:val="20"/>
        </w:rPr>
        <w:t xml:space="preserve"> World Bank Data 2011. </w:t>
      </w:r>
    </w:p>
  </w:footnote>
  <w:footnote w:id="2">
    <w:p w14:paraId="5282BA8A" w14:textId="77777777" w:rsidR="00F91FF6" w:rsidRPr="00E168F2" w:rsidRDefault="00F91FF6" w:rsidP="00F91FF6">
      <w:pPr>
        <w:pStyle w:val="FootnoteText"/>
        <w:rPr>
          <w:rFonts w:ascii="Times New Roman" w:hAnsi="Times New Roman"/>
          <w:lang w:val="en-US"/>
        </w:rPr>
      </w:pPr>
      <w:r w:rsidRPr="00E168F2">
        <w:rPr>
          <w:rStyle w:val="FootnoteReference"/>
          <w:rFonts w:ascii="Times New Roman" w:hAnsi="Times New Roman"/>
        </w:rPr>
        <w:footnoteRef/>
      </w:r>
      <w:r w:rsidRPr="00E168F2">
        <w:rPr>
          <w:rFonts w:ascii="Times New Roman" w:hAnsi="Times New Roman"/>
        </w:rPr>
        <w:t xml:space="preserve"> </w:t>
      </w:r>
      <w:r w:rsidRPr="00E168F2">
        <w:rPr>
          <w:rFonts w:ascii="Times New Roman" w:hAnsi="Times New Roman"/>
          <w:lang w:val="en-US"/>
        </w:rPr>
        <w:t xml:space="preserve">We note that Djibouti may prefer to use the terms “participation finance” or “risk-sharing finance” to describe these modes of finance that conform to religious requirements.   </w:t>
      </w:r>
    </w:p>
  </w:footnote>
  <w:footnote w:id="3">
    <w:p w14:paraId="0D07243A" w14:textId="77777777" w:rsidR="00090E48" w:rsidRDefault="00090E48" w:rsidP="00090E48">
      <w:pPr>
        <w:pStyle w:val="FootnoteText"/>
      </w:pPr>
      <w:r>
        <w:rPr>
          <w:rStyle w:val="FootnoteReference"/>
        </w:rPr>
        <w:footnoteRef/>
      </w:r>
      <w:r>
        <w:t xml:space="preserve"> </w:t>
      </w:r>
      <w:r w:rsidRPr="00DE6E66">
        <w:rPr>
          <w:rFonts w:ascii="Times New Roman" w:hAnsi="Times New Roman"/>
        </w:rPr>
        <w:t>IRTI, Islamic Development Bank Group. (2018). Islamic Finance Country Report. Djibouti: Unleashing the Potential for the Future</w:t>
      </w:r>
    </w:p>
  </w:footnote>
  <w:footnote w:id="4">
    <w:p w14:paraId="7F4F905A" w14:textId="264BE265" w:rsidR="00E409C9" w:rsidRPr="00E409C9" w:rsidRDefault="00E409C9">
      <w:pPr>
        <w:pStyle w:val="FootnoteText"/>
        <w:rPr>
          <w:lang w:val="en-US"/>
        </w:rPr>
      </w:pPr>
      <w:r>
        <w:rPr>
          <w:rStyle w:val="FootnoteReference"/>
        </w:rPr>
        <w:footnoteRef/>
      </w:r>
      <w:r>
        <w:t xml:space="preserve"> </w:t>
      </w:r>
      <w:r>
        <w:rPr>
          <w:rFonts w:ascii="Times New Roman" w:hAnsi="Times New Roman"/>
        </w:rPr>
        <w:t>General Management Support (GMS) fee of each activity</w:t>
      </w:r>
      <w:r>
        <w:rPr>
          <w:rFonts w:ascii="Times New Roman" w:hAnsi="Times New Roman"/>
        </w:rPr>
        <w:t xml:space="preserve"> is included in the Total Budget</w:t>
      </w:r>
      <w:r>
        <w:rPr>
          <w:rFonts w:ascii="Times New Roman" w:hAnsi="Times New Roman"/>
        </w:rPr>
        <w:t>.</w:t>
      </w:r>
    </w:p>
  </w:footnote>
  <w:footnote w:id="5">
    <w:p w14:paraId="2FE378E9" w14:textId="4F612CD6" w:rsidR="00E409C9" w:rsidRPr="00E409C9" w:rsidRDefault="00E409C9">
      <w:pPr>
        <w:pStyle w:val="FootnoteText"/>
        <w:rPr>
          <w:lang w:val="en-US"/>
        </w:rPr>
      </w:pPr>
      <w:r>
        <w:rPr>
          <w:rStyle w:val="FootnoteReference"/>
        </w:rPr>
        <w:footnoteRef/>
      </w:r>
      <w:r>
        <w:t xml:space="preserve"> </w:t>
      </w:r>
      <w:r>
        <w:rPr>
          <w:rFonts w:ascii="Times New Roman" w:hAnsi="Times New Roman"/>
        </w:rPr>
        <w:t>General Management Support (GMS) fee of each activity is included in the Total Budget.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588"/>
    <w:multiLevelType w:val="hybridMultilevel"/>
    <w:tmpl w:val="819E3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0724E"/>
    <w:multiLevelType w:val="hybridMultilevel"/>
    <w:tmpl w:val="B54255A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CF840A8"/>
    <w:multiLevelType w:val="hybridMultilevel"/>
    <w:tmpl w:val="57FE09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389260E"/>
    <w:multiLevelType w:val="hybridMultilevel"/>
    <w:tmpl w:val="72C8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D1097"/>
    <w:multiLevelType w:val="hybridMultilevel"/>
    <w:tmpl w:val="3C3AE6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9B67EF"/>
    <w:multiLevelType w:val="hybridMultilevel"/>
    <w:tmpl w:val="F82A17E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1202B73"/>
    <w:multiLevelType w:val="hybridMultilevel"/>
    <w:tmpl w:val="10E2193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5E47C24"/>
    <w:multiLevelType w:val="hybridMultilevel"/>
    <w:tmpl w:val="2834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B3EBF"/>
    <w:multiLevelType w:val="hybridMultilevel"/>
    <w:tmpl w:val="3B50C122"/>
    <w:lvl w:ilvl="0" w:tplc="1690FB3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C35AF"/>
    <w:multiLevelType w:val="hybridMultilevel"/>
    <w:tmpl w:val="46FCC15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59F608A0"/>
    <w:multiLevelType w:val="hybridMultilevel"/>
    <w:tmpl w:val="2834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43C5E"/>
    <w:multiLevelType w:val="hybridMultilevel"/>
    <w:tmpl w:val="5582BB0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4"/>
  </w:num>
  <w:num w:numId="5">
    <w:abstractNumId w:val="8"/>
  </w:num>
  <w:num w:numId="6">
    <w:abstractNumId w:val="9"/>
  </w:num>
  <w:num w:numId="7">
    <w:abstractNumId w:val="3"/>
  </w:num>
  <w:num w:numId="8">
    <w:abstractNumId w:val="1"/>
  </w:num>
  <w:num w:numId="9">
    <w:abstractNumId w:val="5"/>
  </w:num>
  <w:num w:numId="10">
    <w:abstractNumId w:val="6"/>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5E"/>
    <w:rsid w:val="00002039"/>
    <w:rsid w:val="00006F49"/>
    <w:rsid w:val="00012127"/>
    <w:rsid w:val="00032A76"/>
    <w:rsid w:val="00035E42"/>
    <w:rsid w:val="00043B74"/>
    <w:rsid w:val="0004790D"/>
    <w:rsid w:val="000571E6"/>
    <w:rsid w:val="0008570C"/>
    <w:rsid w:val="00090E48"/>
    <w:rsid w:val="000A69E6"/>
    <w:rsid w:val="000B3BE8"/>
    <w:rsid w:val="000D751E"/>
    <w:rsid w:val="000E026F"/>
    <w:rsid w:val="00101D77"/>
    <w:rsid w:val="00105A9A"/>
    <w:rsid w:val="00111F36"/>
    <w:rsid w:val="00114F6E"/>
    <w:rsid w:val="00131044"/>
    <w:rsid w:val="001362B0"/>
    <w:rsid w:val="00140BD5"/>
    <w:rsid w:val="00153584"/>
    <w:rsid w:val="001769F8"/>
    <w:rsid w:val="00183AB7"/>
    <w:rsid w:val="00192085"/>
    <w:rsid w:val="00193C8A"/>
    <w:rsid w:val="001A314B"/>
    <w:rsid w:val="001B57F8"/>
    <w:rsid w:val="001E5BAF"/>
    <w:rsid w:val="001E64A3"/>
    <w:rsid w:val="001F27B5"/>
    <w:rsid w:val="002049C3"/>
    <w:rsid w:val="00213386"/>
    <w:rsid w:val="00214B7B"/>
    <w:rsid w:val="00217192"/>
    <w:rsid w:val="00220009"/>
    <w:rsid w:val="00224B2D"/>
    <w:rsid w:val="00226272"/>
    <w:rsid w:val="00235CE3"/>
    <w:rsid w:val="00253DC0"/>
    <w:rsid w:val="002620CB"/>
    <w:rsid w:val="00266E43"/>
    <w:rsid w:val="00281311"/>
    <w:rsid w:val="0028546A"/>
    <w:rsid w:val="002A2010"/>
    <w:rsid w:val="002A389A"/>
    <w:rsid w:val="002A4C2A"/>
    <w:rsid w:val="002B6415"/>
    <w:rsid w:val="002D2DBF"/>
    <w:rsid w:val="002F1749"/>
    <w:rsid w:val="003069AE"/>
    <w:rsid w:val="00310F14"/>
    <w:rsid w:val="00317F7D"/>
    <w:rsid w:val="00341CE5"/>
    <w:rsid w:val="00350005"/>
    <w:rsid w:val="0036092F"/>
    <w:rsid w:val="0036107E"/>
    <w:rsid w:val="003621A7"/>
    <w:rsid w:val="00367597"/>
    <w:rsid w:val="003804E4"/>
    <w:rsid w:val="00382C7E"/>
    <w:rsid w:val="003C5A2E"/>
    <w:rsid w:val="003D1188"/>
    <w:rsid w:val="003D2ADE"/>
    <w:rsid w:val="003D5F2B"/>
    <w:rsid w:val="003F30C2"/>
    <w:rsid w:val="003F5FCC"/>
    <w:rsid w:val="004023E8"/>
    <w:rsid w:val="00403D32"/>
    <w:rsid w:val="00421D48"/>
    <w:rsid w:val="00422283"/>
    <w:rsid w:val="004242A4"/>
    <w:rsid w:val="00447855"/>
    <w:rsid w:val="00455AC9"/>
    <w:rsid w:val="00486738"/>
    <w:rsid w:val="00493F66"/>
    <w:rsid w:val="004C341B"/>
    <w:rsid w:val="004C69DF"/>
    <w:rsid w:val="004E56F1"/>
    <w:rsid w:val="004F36DB"/>
    <w:rsid w:val="005148FE"/>
    <w:rsid w:val="005205DD"/>
    <w:rsid w:val="0052668B"/>
    <w:rsid w:val="00544F68"/>
    <w:rsid w:val="00560280"/>
    <w:rsid w:val="005749DA"/>
    <w:rsid w:val="005A2B1E"/>
    <w:rsid w:val="005A6E62"/>
    <w:rsid w:val="005D3595"/>
    <w:rsid w:val="005E3C60"/>
    <w:rsid w:val="005F48A4"/>
    <w:rsid w:val="00601A2F"/>
    <w:rsid w:val="0061233B"/>
    <w:rsid w:val="00624DF2"/>
    <w:rsid w:val="00625737"/>
    <w:rsid w:val="006312FA"/>
    <w:rsid w:val="006322EC"/>
    <w:rsid w:val="00652444"/>
    <w:rsid w:val="00653737"/>
    <w:rsid w:val="00675B5E"/>
    <w:rsid w:val="006779D6"/>
    <w:rsid w:val="00687248"/>
    <w:rsid w:val="006B354D"/>
    <w:rsid w:val="006C113D"/>
    <w:rsid w:val="006C589B"/>
    <w:rsid w:val="006D301B"/>
    <w:rsid w:val="006D3C4B"/>
    <w:rsid w:val="006D71D2"/>
    <w:rsid w:val="006F202F"/>
    <w:rsid w:val="006F2D76"/>
    <w:rsid w:val="00704DE5"/>
    <w:rsid w:val="00716405"/>
    <w:rsid w:val="00726F89"/>
    <w:rsid w:val="00730D8F"/>
    <w:rsid w:val="0073153E"/>
    <w:rsid w:val="00733756"/>
    <w:rsid w:val="00757671"/>
    <w:rsid w:val="00767FB1"/>
    <w:rsid w:val="00772C2A"/>
    <w:rsid w:val="00797E70"/>
    <w:rsid w:val="007A617E"/>
    <w:rsid w:val="007F50F0"/>
    <w:rsid w:val="008063C6"/>
    <w:rsid w:val="008454FC"/>
    <w:rsid w:val="008475CB"/>
    <w:rsid w:val="00851EB5"/>
    <w:rsid w:val="008554BE"/>
    <w:rsid w:val="00855F6B"/>
    <w:rsid w:val="00860CE1"/>
    <w:rsid w:val="00867DD1"/>
    <w:rsid w:val="00875D7D"/>
    <w:rsid w:val="00883EF8"/>
    <w:rsid w:val="0089079F"/>
    <w:rsid w:val="008A24A3"/>
    <w:rsid w:val="008C7E46"/>
    <w:rsid w:val="008D0120"/>
    <w:rsid w:val="008D0405"/>
    <w:rsid w:val="008D0DDF"/>
    <w:rsid w:val="008E40EE"/>
    <w:rsid w:val="008F48AF"/>
    <w:rsid w:val="00905B49"/>
    <w:rsid w:val="009064B4"/>
    <w:rsid w:val="00931450"/>
    <w:rsid w:val="00941B65"/>
    <w:rsid w:val="009424F3"/>
    <w:rsid w:val="00942AD7"/>
    <w:rsid w:val="00946D82"/>
    <w:rsid w:val="00960421"/>
    <w:rsid w:val="009621AC"/>
    <w:rsid w:val="00993371"/>
    <w:rsid w:val="00994078"/>
    <w:rsid w:val="00995B87"/>
    <w:rsid w:val="009A619B"/>
    <w:rsid w:val="009B4681"/>
    <w:rsid w:val="009E3A24"/>
    <w:rsid w:val="009E7C74"/>
    <w:rsid w:val="009F1A1C"/>
    <w:rsid w:val="009F3C98"/>
    <w:rsid w:val="00A20B34"/>
    <w:rsid w:val="00A26D4C"/>
    <w:rsid w:val="00A442B0"/>
    <w:rsid w:val="00A50A1E"/>
    <w:rsid w:val="00A53EC3"/>
    <w:rsid w:val="00A77B81"/>
    <w:rsid w:val="00A85802"/>
    <w:rsid w:val="00A85A8E"/>
    <w:rsid w:val="00AA7745"/>
    <w:rsid w:val="00AD68B6"/>
    <w:rsid w:val="00AE31D2"/>
    <w:rsid w:val="00AE4B38"/>
    <w:rsid w:val="00B033FE"/>
    <w:rsid w:val="00B1701B"/>
    <w:rsid w:val="00B22A4A"/>
    <w:rsid w:val="00B34AC4"/>
    <w:rsid w:val="00B415D5"/>
    <w:rsid w:val="00B76A38"/>
    <w:rsid w:val="00B847EA"/>
    <w:rsid w:val="00BB4F33"/>
    <w:rsid w:val="00BD3E7C"/>
    <w:rsid w:val="00BE0CBB"/>
    <w:rsid w:val="00BF0A2F"/>
    <w:rsid w:val="00BF237B"/>
    <w:rsid w:val="00BF67E5"/>
    <w:rsid w:val="00C00362"/>
    <w:rsid w:val="00C0261E"/>
    <w:rsid w:val="00C0770D"/>
    <w:rsid w:val="00C2728D"/>
    <w:rsid w:val="00C30085"/>
    <w:rsid w:val="00C61BE7"/>
    <w:rsid w:val="00C72298"/>
    <w:rsid w:val="00C77F8F"/>
    <w:rsid w:val="00CB0411"/>
    <w:rsid w:val="00CB12FA"/>
    <w:rsid w:val="00CB763C"/>
    <w:rsid w:val="00CD3388"/>
    <w:rsid w:val="00CD7DE1"/>
    <w:rsid w:val="00CE268B"/>
    <w:rsid w:val="00CE3053"/>
    <w:rsid w:val="00CF2B9B"/>
    <w:rsid w:val="00CF708B"/>
    <w:rsid w:val="00CF7BBB"/>
    <w:rsid w:val="00D205A4"/>
    <w:rsid w:val="00D25744"/>
    <w:rsid w:val="00D4235F"/>
    <w:rsid w:val="00D478BF"/>
    <w:rsid w:val="00D71CFD"/>
    <w:rsid w:val="00D72033"/>
    <w:rsid w:val="00D7260D"/>
    <w:rsid w:val="00DB70F8"/>
    <w:rsid w:val="00DC5DF6"/>
    <w:rsid w:val="00DC6837"/>
    <w:rsid w:val="00DE1F05"/>
    <w:rsid w:val="00DE2FA8"/>
    <w:rsid w:val="00DF4CBC"/>
    <w:rsid w:val="00E11E27"/>
    <w:rsid w:val="00E168F2"/>
    <w:rsid w:val="00E177CA"/>
    <w:rsid w:val="00E20C25"/>
    <w:rsid w:val="00E409C9"/>
    <w:rsid w:val="00E5659B"/>
    <w:rsid w:val="00E73C9E"/>
    <w:rsid w:val="00E76862"/>
    <w:rsid w:val="00E96FF5"/>
    <w:rsid w:val="00E9770B"/>
    <w:rsid w:val="00EB2188"/>
    <w:rsid w:val="00EC54B2"/>
    <w:rsid w:val="00EC56A5"/>
    <w:rsid w:val="00EC76B0"/>
    <w:rsid w:val="00F1478D"/>
    <w:rsid w:val="00F15605"/>
    <w:rsid w:val="00F24399"/>
    <w:rsid w:val="00F33A66"/>
    <w:rsid w:val="00F449C2"/>
    <w:rsid w:val="00F66E9D"/>
    <w:rsid w:val="00F774D7"/>
    <w:rsid w:val="00F91FF6"/>
    <w:rsid w:val="00F9351A"/>
    <w:rsid w:val="00FA2ADF"/>
    <w:rsid w:val="00FD6C1C"/>
    <w:rsid w:val="00FD763A"/>
    <w:rsid w:val="00FE1A66"/>
    <w:rsid w:val="00FE6382"/>
    <w:rsid w:val="04397637"/>
    <w:rsid w:val="15638DBD"/>
    <w:rsid w:val="4B5827C5"/>
    <w:rsid w:val="5297F562"/>
    <w:rsid w:val="74E01DD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76F1"/>
  <w15:docId w15:val="{887C7655-4129-45B9-97AA-4E33ACCD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 Char Char,BVI fnr Car Car Char Char,BVI fnr Car Char Char,BVI fnr Car Car Car Car Char Char,BVI fnr Car Car Car Car Char Char Char,ftref Char Char Char Char,ftref"/>
    <w:link w:val="BVIfnrChar"/>
    <w:uiPriority w:val="99"/>
    <w:semiHidden/>
    <w:rsid w:val="00455AC9"/>
    <w:rPr>
      <w:vertAlign w:val="superscript"/>
    </w:rPr>
  </w:style>
  <w:style w:type="paragraph" w:customStyle="1" w:styleId="BVIfnrChar">
    <w:name w:val="BVI fnr Char"/>
    <w:aliases w:val="BVI fnr Car Car Char,BVI fnr Car Char,BVI fnr Car Car Car Car Char,ftref Char Char"/>
    <w:basedOn w:val="Normal"/>
    <w:link w:val="FootnoteReference"/>
    <w:rsid w:val="00455AC9"/>
    <w:pPr>
      <w:spacing w:after="160" w:line="240" w:lineRule="exact"/>
    </w:pPr>
    <w:rPr>
      <w:vertAlign w:val="superscript"/>
      <w:lang w:val="bs-Latn-BA"/>
    </w:rPr>
  </w:style>
  <w:style w:type="paragraph" w:styleId="ListParagraph">
    <w:name w:val="List Paragraph"/>
    <w:aliases w:val="Bullets,List Paragraph2,Text,Citation List,List Paragraph (numbered (a)),References,Use Case List Paragraph,سرد الفقرات,lp1,MCHIP_list paragraph,List Paragraph1,Recommendation,Bullet List,FooterText,Bioforce zListePuce,Lapis Bulleted List"/>
    <w:basedOn w:val="Normal"/>
    <w:link w:val="ListParagraphChar"/>
    <w:uiPriority w:val="34"/>
    <w:qFormat/>
    <w:rsid w:val="00455AC9"/>
    <w:pPr>
      <w:spacing w:after="160" w:line="259" w:lineRule="auto"/>
      <w:ind w:left="720"/>
      <w:contextualSpacing/>
    </w:pPr>
    <w:rPr>
      <w:rFonts w:ascii="Calibri" w:eastAsia="Yu Mincho" w:hAnsi="Calibri" w:cs="Arial"/>
      <w:lang w:eastAsia="ja-JP"/>
    </w:rPr>
  </w:style>
  <w:style w:type="character" w:customStyle="1" w:styleId="ListParagraphChar">
    <w:name w:val="List Paragraph Char"/>
    <w:aliases w:val="Bullets Char,List Paragraph2 Char,Text Char,Citation List Char,List Paragraph (numbered (a)) Char,References Char,Use Case List Paragraph Char,سرد الفقرات Char,lp1 Char,MCHIP_list paragraph Char,List Paragraph1 Char,Bullet List Char"/>
    <w:link w:val="ListParagraph"/>
    <w:uiPriority w:val="34"/>
    <w:qFormat/>
    <w:locked/>
    <w:rsid w:val="00455AC9"/>
    <w:rPr>
      <w:rFonts w:ascii="Calibri" w:eastAsia="Yu Mincho" w:hAnsi="Calibri" w:cs="Arial"/>
      <w:lang w:val="en-US" w:eastAsia="ja-JP"/>
    </w:rPr>
  </w:style>
  <w:style w:type="paragraph" w:styleId="FootnoteText">
    <w:name w:val="footnote text"/>
    <w:aliases w:val="single space,ft,Footnote Text Char1,Footnote Text Char Char,Char,Footnote Text Char1 Char1,Footnote Text Char Char Char1,Footnote Text Char1 Char Char,Footnote Text Char Char Char Char,Footnote Text Char Char1 Char"/>
    <w:basedOn w:val="Normal"/>
    <w:link w:val="FootnoteTextChar"/>
    <w:semiHidden/>
    <w:rsid w:val="00455AC9"/>
    <w:pPr>
      <w:widowControl w:val="0"/>
      <w:spacing w:before="100" w:after="100" w:line="240" w:lineRule="auto"/>
    </w:pPr>
    <w:rPr>
      <w:rFonts w:ascii="Trebuchet MS" w:eastAsia="Times New Roman" w:hAnsi="Trebuchet MS" w:cs="Times New Roman"/>
      <w:snapToGrid w:val="0"/>
      <w:color w:val="000000"/>
      <w:sz w:val="20"/>
      <w:szCs w:val="20"/>
      <w:lang w:val="en-GB"/>
    </w:rPr>
  </w:style>
  <w:style w:type="character" w:customStyle="1" w:styleId="FootnoteTextChar">
    <w:name w:val="Footnote Text Char"/>
    <w:aliases w:val="single space Char,ft Char,Footnote Text Char1 Char,Footnote Text Char Char Char,Char Char,Footnote Text Char1 Char1 Char,Footnote Text Char Char Char1 Char,Footnote Text Char1 Char Char Char,Footnote Text Char Char Char Char Char"/>
    <w:basedOn w:val="DefaultParagraphFont"/>
    <w:link w:val="FootnoteText"/>
    <w:semiHidden/>
    <w:rsid w:val="00455AC9"/>
    <w:rPr>
      <w:rFonts w:ascii="Trebuchet MS" w:eastAsia="Times New Roman" w:hAnsi="Trebuchet MS" w:cs="Times New Roman"/>
      <w:snapToGrid w:val="0"/>
      <w:color w:val="000000"/>
      <w:sz w:val="20"/>
      <w:szCs w:val="20"/>
      <w:lang w:val="en-GB"/>
    </w:rPr>
  </w:style>
  <w:style w:type="table" w:styleId="TableGrid">
    <w:name w:val="Table Grid"/>
    <w:basedOn w:val="TableNormal"/>
    <w:uiPriority w:val="39"/>
    <w:rsid w:val="0004790D"/>
    <w:pPr>
      <w:spacing w:after="0" w:line="240" w:lineRule="auto"/>
    </w:pPr>
    <w:rPr>
      <w:sz w:val="24"/>
      <w:szCs w:val="24"/>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E3C60"/>
    <w:pPr>
      <w:spacing w:after="0" w:line="240" w:lineRule="auto"/>
    </w:pPr>
    <w:rPr>
      <w:rFonts w:ascii="Calibri" w:eastAsia="Calibri" w:hAnsi="Calibri" w:cs="Arial"/>
      <w:szCs w:val="21"/>
    </w:rPr>
  </w:style>
  <w:style w:type="character" w:customStyle="1" w:styleId="PlainTextChar">
    <w:name w:val="Plain Text Char"/>
    <w:basedOn w:val="DefaultParagraphFont"/>
    <w:link w:val="PlainText"/>
    <w:uiPriority w:val="99"/>
    <w:rsid w:val="005E3C60"/>
    <w:rPr>
      <w:rFonts w:ascii="Calibri" w:eastAsia="Calibri" w:hAnsi="Calibri" w:cs="Arial"/>
      <w:szCs w:val="21"/>
      <w:lang w:val="en-US"/>
    </w:rPr>
  </w:style>
  <w:style w:type="paragraph" w:styleId="BalloonText">
    <w:name w:val="Balloon Text"/>
    <w:basedOn w:val="Normal"/>
    <w:link w:val="BalloonTextChar"/>
    <w:uiPriority w:val="99"/>
    <w:semiHidden/>
    <w:unhideWhenUsed/>
    <w:rsid w:val="0076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B1"/>
    <w:rPr>
      <w:rFonts w:ascii="Tahoma" w:hAnsi="Tahoma" w:cs="Tahoma"/>
      <w:sz w:val="16"/>
      <w:szCs w:val="16"/>
      <w:lang w:val="en-US"/>
    </w:rPr>
  </w:style>
  <w:style w:type="paragraph" w:styleId="Footer">
    <w:name w:val="footer"/>
    <w:basedOn w:val="Normal"/>
    <w:link w:val="FooterChar"/>
    <w:uiPriority w:val="99"/>
    <w:unhideWhenUsed/>
    <w:rsid w:val="00906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B4"/>
    <w:rPr>
      <w:lang w:val="en-US"/>
    </w:rPr>
  </w:style>
  <w:style w:type="character" w:styleId="PageNumber">
    <w:name w:val="page number"/>
    <w:basedOn w:val="DefaultParagraphFont"/>
    <w:uiPriority w:val="99"/>
    <w:semiHidden/>
    <w:unhideWhenUsed/>
    <w:rsid w:val="009064B4"/>
  </w:style>
  <w:style w:type="character" w:styleId="Hyperlink">
    <w:name w:val="Hyperlink"/>
    <w:basedOn w:val="DefaultParagraphFont"/>
    <w:uiPriority w:val="99"/>
    <w:unhideWhenUsed/>
    <w:rsid w:val="00EB2188"/>
    <w:rPr>
      <w:color w:val="0000FF" w:themeColor="hyperlink"/>
      <w:u w:val="single"/>
    </w:rPr>
  </w:style>
  <w:style w:type="character" w:styleId="UnresolvedMention">
    <w:name w:val="Unresolved Mention"/>
    <w:basedOn w:val="DefaultParagraphFont"/>
    <w:uiPriority w:val="99"/>
    <w:semiHidden/>
    <w:unhideWhenUsed/>
    <w:rsid w:val="00EB2188"/>
    <w:rPr>
      <w:color w:val="605E5C"/>
      <w:shd w:val="clear" w:color="auto" w:fill="E1DFDD"/>
    </w:rPr>
  </w:style>
  <w:style w:type="character" w:styleId="CommentReference">
    <w:name w:val="annotation reference"/>
    <w:basedOn w:val="DefaultParagraphFont"/>
    <w:uiPriority w:val="99"/>
    <w:semiHidden/>
    <w:unhideWhenUsed/>
    <w:rsid w:val="00560280"/>
    <w:rPr>
      <w:sz w:val="16"/>
      <w:szCs w:val="16"/>
    </w:rPr>
  </w:style>
  <w:style w:type="paragraph" w:styleId="CommentText">
    <w:name w:val="annotation text"/>
    <w:basedOn w:val="Normal"/>
    <w:link w:val="CommentTextChar"/>
    <w:uiPriority w:val="99"/>
    <w:semiHidden/>
    <w:unhideWhenUsed/>
    <w:rsid w:val="00560280"/>
    <w:pPr>
      <w:spacing w:line="240" w:lineRule="auto"/>
    </w:pPr>
    <w:rPr>
      <w:sz w:val="20"/>
      <w:szCs w:val="20"/>
    </w:rPr>
  </w:style>
  <w:style w:type="character" w:customStyle="1" w:styleId="CommentTextChar">
    <w:name w:val="Comment Text Char"/>
    <w:basedOn w:val="DefaultParagraphFont"/>
    <w:link w:val="CommentText"/>
    <w:uiPriority w:val="99"/>
    <w:semiHidden/>
    <w:rsid w:val="00560280"/>
    <w:rPr>
      <w:sz w:val="20"/>
      <w:szCs w:val="20"/>
      <w:lang w:val="en-US"/>
    </w:rPr>
  </w:style>
  <w:style w:type="paragraph" w:styleId="CommentSubject">
    <w:name w:val="annotation subject"/>
    <w:basedOn w:val="CommentText"/>
    <w:next w:val="CommentText"/>
    <w:link w:val="CommentSubjectChar"/>
    <w:uiPriority w:val="99"/>
    <w:semiHidden/>
    <w:unhideWhenUsed/>
    <w:rsid w:val="00560280"/>
    <w:rPr>
      <w:b/>
      <w:bCs/>
    </w:rPr>
  </w:style>
  <w:style w:type="character" w:customStyle="1" w:styleId="CommentSubjectChar">
    <w:name w:val="Comment Subject Char"/>
    <w:basedOn w:val="CommentTextChar"/>
    <w:link w:val="CommentSubject"/>
    <w:uiPriority w:val="99"/>
    <w:semiHidden/>
    <w:rsid w:val="00560280"/>
    <w:rPr>
      <w:b/>
      <w:bCs/>
      <w:sz w:val="20"/>
      <w:szCs w:val="20"/>
      <w:lang w:val="en-US"/>
    </w:rPr>
  </w:style>
  <w:style w:type="character" w:styleId="FollowedHyperlink">
    <w:name w:val="FollowedHyperlink"/>
    <w:basedOn w:val="DefaultParagraphFont"/>
    <w:uiPriority w:val="99"/>
    <w:semiHidden/>
    <w:unhideWhenUsed/>
    <w:rsid w:val="00E177CA"/>
    <w:rPr>
      <w:color w:val="800080" w:themeColor="followedHyperlink"/>
      <w:u w:val="single"/>
    </w:rPr>
  </w:style>
  <w:style w:type="paragraph" w:styleId="Revision">
    <w:name w:val="Revision"/>
    <w:hidden/>
    <w:uiPriority w:val="99"/>
    <w:semiHidden/>
    <w:rsid w:val="00E168F2"/>
    <w:pPr>
      <w:spacing w:after="0" w:line="240" w:lineRule="auto"/>
    </w:pPr>
    <w:rPr>
      <w:lang w:val="en-US"/>
    </w:rPr>
  </w:style>
  <w:style w:type="paragraph" w:styleId="Header">
    <w:name w:val="header"/>
    <w:basedOn w:val="Normal"/>
    <w:link w:val="HeaderChar"/>
    <w:uiPriority w:val="99"/>
    <w:unhideWhenUsed/>
    <w:rsid w:val="00E16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8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8" ma:contentTypeDescription="Create a new document." ma:contentTypeScope="" ma:versionID="f4af4a3df54d53aecf7035680104b3d0">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86556461743b74db085444c41c941c0b"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B0446 - Djibouti - Djibouti</OfficeCountry>
    <DocumentStatus xmlns="d9cf0e28-81d2-4dc7-8b10-820d80ed680d">Approved</DocumentStatus>
    <DocCoverageEndDate xmlns="d9cf0e28-81d2-4dc7-8b10-820d80ed680d">2022-12-31T05:00:00+00:00</DocCoverageEndDate>
    <TaxCatchAll xmlns="e91d5986-7c29-4ed1-8a54-b8fb378ed474" xsi:nil="true"/>
    <FunctionalArea xmlns="d9cf0e28-81d2-4dc7-8b10-820d80ed680d">Programme and Project</FunctionalArea>
    <FileNameDescription xmlns="d9cf0e28-81d2-4dc7-8b10-820d80ed680d">Brief Proposal</FileNameDescription>
    <ProjectNumber xmlns="d9cf0e28-81d2-4dc7-8b10-820d80ed680d">00128878</ProjectNumber>
    <DocumentType xmlns="d9cf0e28-81d2-4dc7-8b10-820d80ed680d">Project brief or Concept note</DocumentType>
    <Language xmlns="d9cf0e28-81d2-4dc7-8b10-820d80ed680d">English</Language>
    <AuthorName xmlns="d9cf0e28-81d2-4dc7-8b10-820d80ed680d">UNDP</AuthorName>
    <DocumentCategory xmlns="d9cf0e28-81d2-4dc7-8b10-820d80ed680d">Project</DocumentCategory>
    <OperatingUnit xmlns="d9cf0e28-81d2-4dc7-8b10-820d80ed680d">UNDP-DJI</OperatingUnit>
    <lcf76f155ced4ddcb4097134ff3c332f xmlns="d9cf0e28-81d2-4dc7-8b10-820d80ed680d">
      <Terms xmlns="http://schemas.microsoft.com/office/infopath/2007/PartnerControls"/>
    </lcf76f155ced4ddcb4097134ff3c332f>
    <FocusArea xmlns="d9cf0e28-81d2-4dc7-8b10-820d80ed680d">Local Transformative Finance</FocusArea>
    <DocCoverageStartDate xmlns="d9cf0e28-81d2-4dc7-8b10-820d80ed680d">2021-03-30T04:00:00+00:00</DocCoverageStartDate>
    <FileClassificationMode xmlns="d9cf0e28-81d2-4dc7-8b10-820d80ed680d">Public</FileClassificationMode>
    <OutputNumber xmlns="d9cf0e28-81d2-4dc7-8b10-820d80ed680d">00122724</Output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3EA09-59B7-4DCE-835C-5C907E1DFD85}"/>
</file>

<file path=customXml/itemProps2.xml><?xml version="1.0" encoding="utf-8"?>
<ds:datastoreItem xmlns:ds="http://schemas.openxmlformats.org/officeDocument/2006/customXml" ds:itemID="{A732ED30-D212-44E1-92A1-2DA803E2F312}">
  <ds:schemaRefs>
    <ds:schemaRef ds:uri="http://schemas.microsoft.com/sharepoint/v3/contenttype/forms"/>
  </ds:schemaRefs>
</ds:datastoreItem>
</file>

<file path=customXml/itemProps3.xml><?xml version="1.0" encoding="utf-8"?>
<ds:datastoreItem xmlns:ds="http://schemas.openxmlformats.org/officeDocument/2006/customXml" ds:itemID="{DF8B3BDC-A814-4A56-ADDC-BD0D0C3B5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A541A-1BE6-4461-8AA3-3F14ED9E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2533</Words>
  <Characters>14443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Proposal</dc:title>
  <dc:creator>Lejla</dc:creator>
  <cp:lastModifiedBy>Ayse Nur Tepebasi</cp:lastModifiedBy>
  <cp:revision>2</cp:revision>
  <dcterms:created xsi:type="dcterms:W3CDTF">2020-12-10T11:24:00Z</dcterms:created>
  <dcterms:modified xsi:type="dcterms:W3CDTF">2020-12-10T11:24:00Z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